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0107" w14:textId="77777777" w:rsidR="00D10826" w:rsidRDefault="00D10826" w:rsidP="00D10826">
      <w:pPr>
        <w:spacing w:after="0" w:line="240" w:lineRule="auto"/>
        <w:jc w:val="center"/>
        <w:rPr>
          <w:rFonts w:ascii="Open Sans" w:hAnsi="Open Sans" w:cs="Open Sans"/>
          <w:b/>
          <w:bCs/>
          <w:sz w:val="24"/>
          <w:szCs w:val="24"/>
        </w:rPr>
      </w:pPr>
    </w:p>
    <w:p w14:paraId="1F6B7C24" w14:textId="77777777" w:rsidR="00D10826" w:rsidRPr="00D10826" w:rsidRDefault="00D10826" w:rsidP="00D10826">
      <w:pPr>
        <w:spacing w:after="0" w:line="240" w:lineRule="auto"/>
        <w:jc w:val="center"/>
        <w:rPr>
          <w:rFonts w:ascii="Times New Roman" w:hAnsi="Times New Roman" w:cs="Times New Roman"/>
          <w:b/>
          <w:bCs/>
          <w:sz w:val="24"/>
          <w:szCs w:val="24"/>
        </w:rPr>
      </w:pPr>
    </w:p>
    <w:p w14:paraId="40F3EF0D" w14:textId="3E716639" w:rsidR="00D10826" w:rsidRPr="00D10826" w:rsidRDefault="00D10826" w:rsidP="00D10826">
      <w:pPr>
        <w:spacing w:after="0" w:line="240" w:lineRule="auto"/>
        <w:jc w:val="center"/>
        <w:rPr>
          <w:rFonts w:ascii="Times New Roman" w:hAnsi="Times New Roman" w:cs="Times New Roman"/>
          <w:b/>
          <w:bCs/>
          <w:sz w:val="24"/>
          <w:szCs w:val="24"/>
        </w:rPr>
      </w:pPr>
      <w:r w:rsidRPr="00D10826">
        <w:rPr>
          <w:rFonts w:ascii="Times New Roman" w:hAnsi="Times New Roman" w:cs="Times New Roman"/>
          <w:b/>
          <w:bCs/>
          <w:sz w:val="24"/>
          <w:szCs w:val="24"/>
        </w:rPr>
        <w:t>VIRGINIA STATE CORPORATION COMMISSION</w:t>
      </w:r>
    </w:p>
    <w:p w14:paraId="692699F1" w14:textId="77777777" w:rsidR="00D10826" w:rsidRPr="00D10826" w:rsidRDefault="00D10826" w:rsidP="00D10826">
      <w:pPr>
        <w:spacing w:after="0" w:line="240" w:lineRule="auto"/>
        <w:jc w:val="center"/>
        <w:rPr>
          <w:rFonts w:ascii="Times New Roman" w:hAnsi="Times New Roman" w:cs="Times New Roman"/>
          <w:sz w:val="24"/>
          <w:szCs w:val="24"/>
        </w:rPr>
      </w:pPr>
    </w:p>
    <w:p w14:paraId="08EC92B0" w14:textId="77777777" w:rsidR="00D10826" w:rsidRPr="00D10826" w:rsidRDefault="00D10826" w:rsidP="00D10826">
      <w:pPr>
        <w:spacing w:after="0" w:line="240" w:lineRule="auto"/>
        <w:jc w:val="center"/>
        <w:rPr>
          <w:rFonts w:ascii="Times New Roman" w:hAnsi="Times New Roman" w:cs="Times New Roman"/>
          <w:b/>
          <w:bCs/>
          <w:sz w:val="24"/>
          <w:szCs w:val="24"/>
        </w:rPr>
      </w:pPr>
      <w:r w:rsidRPr="00D10826">
        <w:rPr>
          <w:rFonts w:ascii="Times New Roman" w:hAnsi="Times New Roman" w:cs="Times New Roman"/>
          <w:b/>
          <w:bCs/>
          <w:sz w:val="24"/>
          <w:szCs w:val="24"/>
        </w:rPr>
        <w:t>HEALTH BENEFIT EXCHANGE ADVISORY COMMITTEE</w:t>
      </w:r>
    </w:p>
    <w:p w14:paraId="76C41F22" w14:textId="749BAF1D" w:rsidR="00D10826" w:rsidRPr="00D10826" w:rsidRDefault="001B079A" w:rsidP="00D108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2025 </w:t>
      </w:r>
      <w:r w:rsidR="00D10826" w:rsidRPr="00D10826">
        <w:rPr>
          <w:rFonts w:ascii="Times New Roman" w:hAnsi="Times New Roman" w:cs="Times New Roman"/>
          <w:b/>
          <w:bCs/>
          <w:sz w:val="24"/>
          <w:szCs w:val="24"/>
        </w:rPr>
        <w:t xml:space="preserve">QUARTER </w:t>
      </w:r>
      <w:r w:rsidR="00813B99">
        <w:rPr>
          <w:rFonts w:ascii="Times New Roman" w:hAnsi="Times New Roman" w:cs="Times New Roman"/>
          <w:b/>
          <w:bCs/>
          <w:sz w:val="24"/>
          <w:szCs w:val="24"/>
        </w:rPr>
        <w:t>3</w:t>
      </w:r>
      <w:r w:rsidR="00D10826" w:rsidRPr="00D10826">
        <w:rPr>
          <w:rFonts w:ascii="Times New Roman" w:hAnsi="Times New Roman" w:cs="Times New Roman"/>
          <w:b/>
          <w:bCs/>
          <w:sz w:val="24"/>
          <w:szCs w:val="24"/>
        </w:rPr>
        <w:t xml:space="preserve"> MEETING</w:t>
      </w:r>
    </w:p>
    <w:p w14:paraId="5CEB5A34" w14:textId="436B3B1C" w:rsidR="00D10826" w:rsidRDefault="00813B99" w:rsidP="00D10826">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HBE Offices</w:t>
      </w:r>
    </w:p>
    <w:p w14:paraId="231002ED" w14:textId="06E9B211" w:rsidR="009F15A3" w:rsidRPr="00D10826" w:rsidRDefault="009F15A3" w:rsidP="00D10826">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1111 East Main Street, Richmond, VA</w:t>
      </w:r>
    </w:p>
    <w:p w14:paraId="580FBE90" w14:textId="748D44BD" w:rsidR="00D10826" w:rsidRPr="00D10826" w:rsidRDefault="009F15A3" w:rsidP="00D108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25</w:t>
      </w:r>
      <w:r w:rsidR="00D10826" w:rsidRPr="00D10826">
        <w:rPr>
          <w:rFonts w:ascii="Times New Roman" w:hAnsi="Times New Roman" w:cs="Times New Roman"/>
          <w:sz w:val="24"/>
          <w:szCs w:val="24"/>
        </w:rPr>
        <w:t xml:space="preserve">, </w:t>
      </w:r>
      <w:r w:rsidR="00BA1449">
        <w:rPr>
          <w:rFonts w:ascii="Times New Roman" w:hAnsi="Times New Roman" w:cs="Times New Roman"/>
          <w:sz w:val="24"/>
          <w:szCs w:val="24"/>
        </w:rPr>
        <w:t>2025</w:t>
      </w:r>
      <w:r w:rsidR="00D10826" w:rsidRPr="00D10826">
        <w:rPr>
          <w:rFonts w:ascii="Times New Roman" w:hAnsi="Times New Roman" w:cs="Times New Roman"/>
          <w:sz w:val="24"/>
          <w:szCs w:val="24"/>
        </w:rPr>
        <w:t>, 2:00pm</w:t>
      </w:r>
    </w:p>
    <w:p w14:paraId="430D5B30" w14:textId="77777777" w:rsidR="00D10826" w:rsidRPr="00D10826" w:rsidRDefault="00D10826" w:rsidP="00D10826">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0826" w:rsidRPr="00D10826" w14:paraId="5234B1C0" w14:textId="77777777" w:rsidTr="00D13946">
        <w:tc>
          <w:tcPr>
            <w:tcW w:w="4675" w:type="dxa"/>
          </w:tcPr>
          <w:p w14:paraId="72702284" w14:textId="426E7343" w:rsidR="00D10826" w:rsidRPr="001B079A" w:rsidRDefault="00D10826" w:rsidP="00D13946">
            <w:pPr>
              <w:rPr>
                <w:rFonts w:ascii="Times New Roman" w:hAnsi="Times New Roman" w:cs="Times New Roman"/>
                <w:sz w:val="24"/>
                <w:szCs w:val="24"/>
                <w:u w:val="single"/>
              </w:rPr>
            </w:pPr>
            <w:r w:rsidRPr="001B079A">
              <w:rPr>
                <w:rFonts w:ascii="Times New Roman" w:hAnsi="Times New Roman" w:cs="Times New Roman"/>
                <w:sz w:val="24"/>
                <w:szCs w:val="24"/>
                <w:u w:val="single"/>
              </w:rPr>
              <w:t xml:space="preserve">Members Present  </w:t>
            </w:r>
          </w:p>
          <w:p w14:paraId="52E9193D" w14:textId="77777777" w:rsidR="00D10826" w:rsidRPr="001B079A" w:rsidRDefault="00D10826" w:rsidP="00D10826">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Scott White</w:t>
            </w:r>
          </w:p>
          <w:p w14:paraId="537A1998" w14:textId="77777777" w:rsidR="00D10826" w:rsidRPr="001B079A" w:rsidRDefault="00D10826" w:rsidP="00D10826">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Lee Biedrycki</w:t>
            </w:r>
          </w:p>
          <w:p w14:paraId="0E34AD4B" w14:textId="77777777" w:rsidR="00D10826" w:rsidRPr="001B079A" w:rsidRDefault="00D10826" w:rsidP="00D10826">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Doug Gray</w:t>
            </w:r>
          </w:p>
          <w:p w14:paraId="21A32C72" w14:textId="77777777" w:rsidR="00D10826" w:rsidRPr="001B079A" w:rsidRDefault="00D10826" w:rsidP="00D10826">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Lou Rossiter</w:t>
            </w:r>
          </w:p>
          <w:p w14:paraId="0BECDA2C" w14:textId="77777777" w:rsidR="00D10826" w:rsidRPr="001B079A" w:rsidRDefault="00D10826" w:rsidP="00D10826">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Craig Connors</w:t>
            </w:r>
          </w:p>
          <w:p w14:paraId="187A8BC6" w14:textId="77777777" w:rsidR="00D10826" w:rsidRPr="001B079A" w:rsidRDefault="00D10826" w:rsidP="00D10826">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Kip Piper</w:t>
            </w:r>
          </w:p>
          <w:p w14:paraId="2C342DA4" w14:textId="02301601" w:rsidR="00D10826" w:rsidRPr="001B079A" w:rsidRDefault="00D10826" w:rsidP="00E64481">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u w:val="single"/>
              </w:rPr>
            </w:pPr>
            <w:r w:rsidRPr="001B079A">
              <w:rPr>
                <w:rFonts w:ascii="Times New Roman" w:hAnsi="Times New Roman" w:cs="Times New Roman"/>
                <w:b/>
                <w:bCs/>
                <w:sz w:val="24"/>
                <w:szCs w:val="24"/>
              </w:rPr>
              <w:t>Sheenu Kachru</w:t>
            </w:r>
          </w:p>
          <w:p w14:paraId="0612B4BF" w14:textId="36C36E47" w:rsidR="00E64481" w:rsidRDefault="00D10826" w:rsidP="00E64481">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sidRPr="001B079A">
              <w:rPr>
                <w:rFonts w:ascii="Times New Roman" w:hAnsi="Times New Roman" w:cs="Times New Roman"/>
                <w:b/>
                <w:bCs/>
                <w:sz w:val="24"/>
                <w:szCs w:val="24"/>
              </w:rPr>
              <w:t>Julie Bataille</w:t>
            </w:r>
          </w:p>
          <w:p w14:paraId="550AD90B" w14:textId="3D114B6A" w:rsidR="004E3668" w:rsidRPr="001B079A" w:rsidRDefault="004E3668" w:rsidP="00E64481">
            <w:pPr>
              <w:pStyle w:val="ListParagraph"/>
              <w:widowControl w:val="0"/>
              <w:numPr>
                <w:ilvl w:val="0"/>
                <w:numId w:val="2"/>
              </w:numPr>
              <w:autoSpaceDE w:val="0"/>
              <w:autoSpaceDN w:val="0"/>
              <w:spacing w:before="12"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David Cummins</w:t>
            </w:r>
          </w:p>
          <w:p w14:paraId="3B64AE61" w14:textId="77777777" w:rsidR="00D10826" w:rsidRPr="001B079A" w:rsidRDefault="00D10826" w:rsidP="00D13946">
            <w:pPr>
              <w:pStyle w:val="ListParagraph"/>
              <w:rPr>
                <w:rFonts w:ascii="Times New Roman" w:hAnsi="Times New Roman" w:cs="Times New Roman"/>
                <w:sz w:val="24"/>
                <w:szCs w:val="24"/>
                <w:u w:val="single"/>
              </w:rPr>
            </w:pPr>
          </w:p>
        </w:tc>
        <w:tc>
          <w:tcPr>
            <w:tcW w:w="4675" w:type="dxa"/>
          </w:tcPr>
          <w:p w14:paraId="20828646" w14:textId="77777777" w:rsidR="00D10826" w:rsidRPr="001B079A" w:rsidRDefault="00D10826" w:rsidP="00D13946">
            <w:pPr>
              <w:rPr>
                <w:rFonts w:ascii="Times New Roman" w:hAnsi="Times New Roman" w:cs="Times New Roman"/>
                <w:sz w:val="24"/>
                <w:szCs w:val="24"/>
                <w:u w:val="single"/>
              </w:rPr>
            </w:pPr>
            <w:r w:rsidRPr="001B079A">
              <w:rPr>
                <w:rFonts w:ascii="Times New Roman" w:hAnsi="Times New Roman" w:cs="Times New Roman"/>
                <w:sz w:val="24"/>
                <w:szCs w:val="24"/>
                <w:u w:val="single"/>
              </w:rPr>
              <w:t>HBE Staff Present</w:t>
            </w:r>
          </w:p>
          <w:p w14:paraId="4A65E666" w14:textId="637C5A82" w:rsidR="00D10826" w:rsidRPr="001B079A" w:rsidRDefault="00D10826"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Keven Patchett</w:t>
            </w:r>
          </w:p>
          <w:p w14:paraId="4244AF05" w14:textId="77777777" w:rsidR="00D10826" w:rsidRPr="001B079A" w:rsidRDefault="00D10826"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Holly Mortlock</w:t>
            </w:r>
          </w:p>
          <w:p w14:paraId="74715551" w14:textId="77777777" w:rsidR="003C2381" w:rsidRDefault="00D10826"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Christie Peters</w:t>
            </w:r>
          </w:p>
          <w:p w14:paraId="43572A68" w14:textId="401708FC" w:rsidR="00D10826" w:rsidRPr="001B079A" w:rsidRDefault="003C2381"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rPr>
            </w:pPr>
            <w:r>
              <w:rPr>
                <w:rFonts w:ascii="Times New Roman" w:hAnsi="Times New Roman" w:cs="Times New Roman"/>
                <w:sz w:val="24"/>
                <w:szCs w:val="24"/>
              </w:rPr>
              <w:t>Melissa Gordon</w:t>
            </w:r>
            <w:r w:rsidR="00D10826" w:rsidRPr="001B079A">
              <w:rPr>
                <w:rFonts w:ascii="Times New Roman" w:hAnsi="Times New Roman" w:cs="Times New Roman"/>
                <w:sz w:val="24"/>
                <w:szCs w:val="24"/>
              </w:rPr>
              <w:t xml:space="preserve"> </w:t>
            </w:r>
          </w:p>
          <w:p w14:paraId="0202C302" w14:textId="77777777" w:rsidR="00D10826" w:rsidRPr="001B079A" w:rsidRDefault="00D10826"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Alicia Pullen</w:t>
            </w:r>
          </w:p>
          <w:p w14:paraId="43C569B3" w14:textId="77777777" w:rsidR="00D10826" w:rsidRPr="00A45AAE" w:rsidRDefault="00D10826"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u w:val="single"/>
              </w:rPr>
            </w:pPr>
            <w:r w:rsidRPr="001B079A">
              <w:rPr>
                <w:rFonts w:ascii="Times New Roman" w:hAnsi="Times New Roman" w:cs="Times New Roman"/>
                <w:sz w:val="24"/>
                <w:szCs w:val="24"/>
              </w:rPr>
              <w:t>Victoria Drescher</w:t>
            </w:r>
          </w:p>
          <w:p w14:paraId="20B44553" w14:textId="485BE55E" w:rsidR="00A45AAE" w:rsidRPr="001B079A" w:rsidRDefault="00A45AAE" w:rsidP="00D10826">
            <w:pPr>
              <w:pStyle w:val="ListParagraph"/>
              <w:widowControl w:val="0"/>
              <w:numPr>
                <w:ilvl w:val="0"/>
                <w:numId w:val="3"/>
              </w:numPr>
              <w:autoSpaceDE w:val="0"/>
              <w:autoSpaceDN w:val="0"/>
              <w:spacing w:before="12" w:line="240" w:lineRule="auto"/>
              <w:contextualSpacing w:val="0"/>
              <w:rPr>
                <w:rFonts w:ascii="Times New Roman" w:hAnsi="Times New Roman" w:cs="Times New Roman"/>
                <w:sz w:val="24"/>
                <w:szCs w:val="24"/>
                <w:u w:val="single"/>
              </w:rPr>
            </w:pPr>
            <w:r>
              <w:rPr>
                <w:rFonts w:ascii="Times New Roman" w:hAnsi="Times New Roman" w:cs="Times New Roman"/>
                <w:sz w:val="24"/>
                <w:szCs w:val="24"/>
              </w:rPr>
              <w:t>Amber Sher</w:t>
            </w:r>
            <w:r w:rsidR="003C2381">
              <w:rPr>
                <w:rFonts w:ascii="Times New Roman" w:hAnsi="Times New Roman" w:cs="Times New Roman"/>
                <w:sz w:val="24"/>
                <w:szCs w:val="24"/>
              </w:rPr>
              <w:t>r</w:t>
            </w:r>
          </w:p>
          <w:p w14:paraId="77855C59" w14:textId="5979B3D9" w:rsidR="00D10826" w:rsidRPr="001B079A" w:rsidRDefault="00D10826" w:rsidP="00BA1449">
            <w:pPr>
              <w:pStyle w:val="ListParagraph"/>
              <w:widowControl w:val="0"/>
              <w:autoSpaceDE w:val="0"/>
              <w:autoSpaceDN w:val="0"/>
              <w:spacing w:before="12" w:line="240" w:lineRule="auto"/>
              <w:ind w:left="360"/>
              <w:contextualSpacing w:val="0"/>
              <w:rPr>
                <w:rFonts w:ascii="Times New Roman" w:hAnsi="Times New Roman" w:cs="Times New Roman"/>
                <w:sz w:val="24"/>
                <w:szCs w:val="24"/>
              </w:rPr>
            </w:pPr>
          </w:p>
        </w:tc>
      </w:tr>
      <w:tr w:rsidR="00D10826" w:rsidRPr="00D10826" w14:paraId="44D3F929" w14:textId="77777777" w:rsidTr="00D13946">
        <w:tc>
          <w:tcPr>
            <w:tcW w:w="4675" w:type="dxa"/>
          </w:tcPr>
          <w:p w14:paraId="4A93F07C" w14:textId="77777777" w:rsidR="00D10826" w:rsidRPr="001B079A" w:rsidRDefault="00D10826" w:rsidP="00D13946">
            <w:pPr>
              <w:rPr>
                <w:rFonts w:ascii="Times New Roman" w:hAnsi="Times New Roman" w:cs="Times New Roman"/>
                <w:sz w:val="24"/>
                <w:szCs w:val="24"/>
                <w:u w:val="single"/>
              </w:rPr>
            </w:pPr>
            <w:r w:rsidRPr="001B079A">
              <w:rPr>
                <w:rFonts w:ascii="Times New Roman" w:hAnsi="Times New Roman" w:cs="Times New Roman"/>
                <w:sz w:val="24"/>
                <w:szCs w:val="24"/>
                <w:u w:val="single"/>
              </w:rPr>
              <w:t>Members Absent</w:t>
            </w:r>
          </w:p>
          <w:p w14:paraId="287DA7CE" w14:textId="212BE837" w:rsidR="00D10826" w:rsidRPr="001B079A" w:rsidRDefault="00E64481" w:rsidP="00D10826">
            <w:pPr>
              <w:pStyle w:val="ListParagraph"/>
              <w:widowControl w:val="0"/>
              <w:numPr>
                <w:ilvl w:val="0"/>
                <w:numId w:val="1"/>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Kevin Erskine</w:t>
            </w:r>
          </w:p>
          <w:p w14:paraId="440F3395" w14:textId="77777777" w:rsidR="00E64481" w:rsidRPr="001B079A" w:rsidRDefault="00E64481" w:rsidP="00D10826">
            <w:pPr>
              <w:pStyle w:val="ListParagraph"/>
              <w:widowControl w:val="0"/>
              <w:numPr>
                <w:ilvl w:val="0"/>
                <w:numId w:val="1"/>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Janet Kelly</w:t>
            </w:r>
          </w:p>
          <w:p w14:paraId="779B4CBE" w14:textId="0F72D983" w:rsidR="00D10826" w:rsidRPr="001B079A" w:rsidRDefault="00D10826" w:rsidP="00D10826">
            <w:pPr>
              <w:pStyle w:val="ListParagraph"/>
              <w:widowControl w:val="0"/>
              <w:numPr>
                <w:ilvl w:val="0"/>
                <w:numId w:val="1"/>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 xml:space="preserve">Cheryl Roberts </w:t>
            </w:r>
          </w:p>
          <w:p w14:paraId="5B2C4BA8" w14:textId="2A9D19C0" w:rsidR="001B079A" w:rsidRPr="001B079A" w:rsidRDefault="001B079A" w:rsidP="00D10826">
            <w:pPr>
              <w:pStyle w:val="ListParagraph"/>
              <w:widowControl w:val="0"/>
              <w:numPr>
                <w:ilvl w:val="0"/>
                <w:numId w:val="1"/>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Karen Shelton</w:t>
            </w:r>
          </w:p>
          <w:p w14:paraId="0D220864" w14:textId="77777777" w:rsidR="00D10826" w:rsidRPr="001B079A" w:rsidRDefault="00D10826" w:rsidP="00D10826">
            <w:pPr>
              <w:pStyle w:val="ListParagraph"/>
              <w:widowControl w:val="0"/>
              <w:numPr>
                <w:ilvl w:val="0"/>
                <w:numId w:val="1"/>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Liz Cunningham</w:t>
            </w:r>
          </w:p>
          <w:p w14:paraId="783B4E38" w14:textId="77777777" w:rsidR="00E64481" w:rsidRPr="001B079A" w:rsidRDefault="00E64481" w:rsidP="00D10826">
            <w:pPr>
              <w:pStyle w:val="ListParagraph"/>
              <w:widowControl w:val="0"/>
              <w:numPr>
                <w:ilvl w:val="0"/>
                <w:numId w:val="1"/>
              </w:numPr>
              <w:autoSpaceDE w:val="0"/>
              <w:autoSpaceDN w:val="0"/>
              <w:spacing w:before="12" w:line="240" w:lineRule="auto"/>
              <w:contextualSpacing w:val="0"/>
              <w:rPr>
                <w:rFonts w:ascii="Times New Roman" w:hAnsi="Times New Roman" w:cs="Times New Roman"/>
                <w:sz w:val="24"/>
                <w:szCs w:val="24"/>
              </w:rPr>
            </w:pPr>
            <w:r w:rsidRPr="001B079A">
              <w:rPr>
                <w:rFonts w:ascii="Times New Roman" w:hAnsi="Times New Roman" w:cs="Times New Roman"/>
                <w:sz w:val="24"/>
                <w:szCs w:val="24"/>
              </w:rPr>
              <w:t>Scott Castro</w:t>
            </w:r>
          </w:p>
          <w:p w14:paraId="6654F629" w14:textId="5CFF74E2" w:rsidR="00E64481" w:rsidRPr="001B079A" w:rsidRDefault="00E64481" w:rsidP="00D169B4">
            <w:pPr>
              <w:pStyle w:val="ListParagraph"/>
              <w:widowControl w:val="0"/>
              <w:autoSpaceDE w:val="0"/>
              <w:autoSpaceDN w:val="0"/>
              <w:spacing w:line="240" w:lineRule="auto"/>
              <w:ind w:left="360"/>
              <w:contextualSpacing w:val="0"/>
              <w:rPr>
                <w:rFonts w:ascii="Times New Roman" w:hAnsi="Times New Roman" w:cs="Times New Roman"/>
                <w:sz w:val="24"/>
                <w:szCs w:val="24"/>
              </w:rPr>
            </w:pPr>
          </w:p>
        </w:tc>
        <w:tc>
          <w:tcPr>
            <w:tcW w:w="4675" w:type="dxa"/>
          </w:tcPr>
          <w:p w14:paraId="2ECF2CF3" w14:textId="411122E7" w:rsidR="00641E17" w:rsidRPr="001B079A" w:rsidRDefault="00D10826" w:rsidP="00E64481">
            <w:pPr>
              <w:rPr>
                <w:rFonts w:ascii="Times New Roman" w:hAnsi="Times New Roman" w:cs="Times New Roman"/>
                <w:sz w:val="24"/>
                <w:szCs w:val="24"/>
                <w:u w:val="single"/>
              </w:rPr>
            </w:pPr>
            <w:r w:rsidRPr="001B079A">
              <w:rPr>
                <w:rFonts w:ascii="Times New Roman" w:hAnsi="Times New Roman" w:cs="Times New Roman"/>
                <w:sz w:val="24"/>
                <w:szCs w:val="24"/>
                <w:u w:val="single"/>
              </w:rPr>
              <w:t>Others Present</w:t>
            </w:r>
          </w:p>
          <w:p w14:paraId="6D650EDA" w14:textId="244DD11D" w:rsidR="00641E17" w:rsidRPr="004B723E" w:rsidRDefault="00D6711D" w:rsidP="00641E17">
            <w:pPr>
              <w:pStyle w:val="ListParagraph"/>
              <w:numPr>
                <w:ilvl w:val="0"/>
                <w:numId w:val="10"/>
              </w:numPr>
              <w:rPr>
                <w:rFonts w:ascii="Times New Roman" w:hAnsi="Times New Roman" w:cs="Times New Roman"/>
                <w:sz w:val="24"/>
                <w:szCs w:val="24"/>
              </w:rPr>
            </w:pPr>
            <w:r w:rsidRPr="004B723E">
              <w:rPr>
                <w:rFonts w:ascii="Times New Roman" w:hAnsi="Times New Roman" w:cs="Times New Roman"/>
                <w:sz w:val="24"/>
                <w:szCs w:val="24"/>
              </w:rPr>
              <w:t>Bradley Marsh, BOI</w:t>
            </w:r>
          </w:p>
          <w:p w14:paraId="0AA14EC0" w14:textId="632A1683" w:rsidR="00D10826" w:rsidRPr="004B723E" w:rsidRDefault="00D94CE8" w:rsidP="00641E17">
            <w:pPr>
              <w:pStyle w:val="ListParagraph"/>
              <w:numPr>
                <w:ilvl w:val="0"/>
                <w:numId w:val="10"/>
              </w:numPr>
              <w:rPr>
                <w:rFonts w:ascii="Times New Roman" w:hAnsi="Times New Roman" w:cs="Times New Roman"/>
                <w:sz w:val="24"/>
                <w:szCs w:val="24"/>
              </w:rPr>
            </w:pPr>
            <w:r w:rsidRPr="004B723E">
              <w:rPr>
                <w:rFonts w:ascii="Times New Roman" w:hAnsi="Times New Roman" w:cs="Times New Roman"/>
                <w:sz w:val="24"/>
                <w:szCs w:val="24"/>
              </w:rPr>
              <w:t>Erin Glossop, NCSL</w:t>
            </w:r>
          </w:p>
          <w:p w14:paraId="6468A955" w14:textId="2D8EA1DF" w:rsidR="00E64481" w:rsidRPr="001B079A" w:rsidRDefault="00E64481" w:rsidP="00E64481">
            <w:pPr>
              <w:pStyle w:val="ListParagraph"/>
              <w:ind w:left="360"/>
              <w:rPr>
                <w:rFonts w:ascii="Times New Roman" w:hAnsi="Times New Roman" w:cs="Times New Roman"/>
                <w:b/>
                <w:bCs/>
                <w:sz w:val="24"/>
                <w:szCs w:val="24"/>
              </w:rPr>
            </w:pPr>
          </w:p>
          <w:p w14:paraId="6956DFC8" w14:textId="77777777" w:rsidR="00D10826" w:rsidRPr="001B079A" w:rsidRDefault="00D10826" w:rsidP="00D13946">
            <w:pPr>
              <w:pStyle w:val="ListParagraph"/>
              <w:rPr>
                <w:rFonts w:ascii="Times New Roman" w:hAnsi="Times New Roman" w:cs="Times New Roman"/>
                <w:b/>
                <w:bCs/>
                <w:sz w:val="24"/>
                <w:szCs w:val="24"/>
              </w:rPr>
            </w:pPr>
          </w:p>
        </w:tc>
      </w:tr>
    </w:tbl>
    <w:p w14:paraId="24D2EE78" w14:textId="77777777" w:rsidR="001B079A" w:rsidRDefault="001B079A" w:rsidP="00732C54">
      <w:pPr>
        <w:widowControl w:val="0"/>
        <w:autoSpaceDE w:val="0"/>
        <w:autoSpaceDN w:val="0"/>
        <w:spacing w:after="0" w:line="240" w:lineRule="auto"/>
        <w:rPr>
          <w:rFonts w:ascii="Times New Roman" w:hAnsi="Times New Roman" w:cs="Times New Roman"/>
          <w:b/>
          <w:bCs/>
          <w:sz w:val="24"/>
          <w:szCs w:val="24"/>
        </w:rPr>
      </w:pPr>
    </w:p>
    <w:p w14:paraId="1AEFF510" w14:textId="23AC5202" w:rsidR="007C6508" w:rsidRDefault="007C6508" w:rsidP="00732C54">
      <w:pPr>
        <w:widowControl w:val="0"/>
        <w:autoSpaceDE w:val="0"/>
        <w:autoSpaceDN w:val="0"/>
        <w:spacing w:after="0" w:line="240" w:lineRule="auto"/>
        <w:rPr>
          <w:rFonts w:ascii="Times New Roman" w:hAnsi="Times New Roman" w:cs="Times New Roman"/>
          <w:b/>
          <w:bCs/>
          <w:sz w:val="24"/>
          <w:szCs w:val="24"/>
        </w:rPr>
      </w:pPr>
      <w:r w:rsidRPr="007C6508">
        <w:rPr>
          <w:rFonts w:ascii="Times New Roman" w:hAnsi="Times New Roman" w:cs="Times New Roman"/>
          <w:b/>
          <w:bCs/>
          <w:sz w:val="24"/>
          <w:szCs w:val="24"/>
        </w:rPr>
        <w:t>I</w:t>
      </w:r>
      <w:r>
        <w:rPr>
          <w:rFonts w:ascii="Times New Roman" w:hAnsi="Times New Roman" w:cs="Times New Roman"/>
          <w:sz w:val="24"/>
          <w:szCs w:val="24"/>
        </w:rPr>
        <w:t xml:space="preserve">. </w:t>
      </w:r>
      <w:r w:rsidR="00D10826" w:rsidRPr="00732C54">
        <w:rPr>
          <w:rFonts w:ascii="Times New Roman" w:hAnsi="Times New Roman" w:cs="Times New Roman"/>
          <w:b/>
          <w:bCs/>
          <w:sz w:val="24"/>
          <w:szCs w:val="24"/>
        </w:rPr>
        <w:t xml:space="preserve">Call </w:t>
      </w:r>
      <w:r w:rsidRPr="00732C54">
        <w:rPr>
          <w:rFonts w:ascii="Times New Roman" w:hAnsi="Times New Roman" w:cs="Times New Roman"/>
          <w:b/>
          <w:bCs/>
          <w:sz w:val="24"/>
          <w:szCs w:val="24"/>
        </w:rPr>
        <w:t>to Order</w:t>
      </w:r>
      <w:r w:rsidR="00D10826" w:rsidRPr="00732C54">
        <w:rPr>
          <w:rFonts w:ascii="Times New Roman" w:hAnsi="Times New Roman" w:cs="Times New Roman"/>
          <w:b/>
          <w:bCs/>
          <w:sz w:val="24"/>
          <w:szCs w:val="24"/>
        </w:rPr>
        <w:t>- Chairman Lou Rossiter</w:t>
      </w:r>
    </w:p>
    <w:p w14:paraId="07E8AFA0" w14:textId="77777777" w:rsidR="00732C54" w:rsidRPr="00732C54" w:rsidRDefault="00732C54" w:rsidP="00732C54">
      <w:pPr>
        <w:widowControl w:val="0"/>
        <w:autoSpaceDE w:val="0"/>
        <w:autoSpaceDN w:val="0"/>
        <w:spacing w:after="0" w:line="240" w:lineRule="auto"/>
        <w:rPr>
          <w:rFonts w:ascii="Times New Roman" w:hAnsi="Times New Roman" w:cs="Times New Roman"/>
          <w:b/>
          <w:bCs/>
          <w:sz w:val="24"/>
          <w:szCs w:val="24"/>
        </w:rPr>
      </w:pPr>
    </w:p>
    <w:p w14:paraId="5262C785" w14:textId="36A63850" w:rsidR="002A196E" w:rsidRPr="00CE50AE" w:rsidRDefault="007C6508" w:rsidP="009C38A8">
      <w:pPr>
        <w:widowControl w:val="0"/>
        <w:tabs>
          <w:tab w:val="left" w:pos="1068"/>
        </w:tabs>
        <w:autoSpaceDE w:val="0"/>
        <w:autoSpaceDN w:val="0"/>
        <w:spacing w:after="0" w:line="480" w:lineRule="auto"/>
        <w:rPr>
          <w:rFonts w:ascii="Times New Roman" w:hAnsi="Times New Roman" w:cs="Times New Roman"/>
          <w:sz w:val="24"/>
          <w:szCs w:val="24"/>
        </w:rPr>
      </w:pPr>
      <w:r w:rsidRPr="00732C54">
        <w:rPr>
          <w:rFonts w:ascii="Times New Roman" w:hAnsi="Times New Roman" w:cs="Times New Roman"/>
          <w:b/>
          <w:bCs/>
          <w:sz w:val="24"/>
          <w:szCs w:val="24"/>
        </w:rPr>
        <w:t xml:space="preserve">II. </w:t>
      </w:r>
      <w:r w:rsidR="00E51FE6" w:rsidRPr="00732C54">
        <w:rPr>
          <w:rFonts w:ascii="Times New Roman" w:hAnsi="Times New Roman" w:cs="Times New Roman"/>
          <w:b/>
          <w:bCs/>
          <w:sz w:val="24"/>
          <w:szCs w:val="24"/>
        </w:rPr>
        <w:t>Director’s update</w:t>
      </w:r>
      <w:r w:rsidR="00E64481">
        <w:rPr>
          <w:rFonts w:ascii="Times New Roman" w:hAnsi="Times New Roman" w:cs="Times New Roman"/>
          <w:b/>
          <w:bCs/>
          <w:sz w:val="24"/>
          <w:szCs w:val="24"/>
        </w:rPr>
        <w:t xml:space="preserve">- </w:t>
      </w:r>
      <w:r w:rsidR="00E64481" w:rsidRPr="00E64481">
        <w:rPr>
          <w:rFonts w:ascii="Times New Roman" w:hAnsi="Times New Roman" w:cs="Times New Roman"/>
          <w:sz w:val="24"/>
          <w:szCs w:val="24"/>
        </w:rPr>
        <w:t>Keven Patchett, HBE Director</w:t>
      </w:r>
    </w:p>
    <w:p w14:paraId="0060192D" w14:textId="38D2F4DD" w:rsidR="00642B16" w:rsidRDefault="00295EC8" w:rsidP="009C38A8">
      <w:pPr>
        <w:pStyle w:val="ListParagraph"/>
        <w:widowControl w:val="0"/>
        <w:numPr>
          <w:ilvl w:val="0"/>
          <w:numId w:val="11"/>
        </w:numPr>
        <w:tabs>
          <w:tab w:val="left" w:pos="2366"/>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Road to open enrollment</w:t>
      </w:r>
      <w:r w:rsidR="00A94C49">
        <w:rPr>
          <w:rFonts w:ascii="Times New Roman" w:hAnsi="Times New Roman" w:cs="Times New Roman"/>
          <w:sz w:val="24"/>
          <w:szCs w:val="24"/>
        </w:rPr>
        <w:t xml:space="preserve"> highlights of HBE activity:</w:t>
      </w:r>
      <w:r w:rsidR="00642B16">
        <w:rPr>
          <w:rFonts w:ascii="Times New Roman" w:hAnsi="Times New Roman" w:cs="Times New Roman"/>
          <w:sz w:val="24"/>
          <w:szCs w:val="24"/>
        </w:rPr>
        <w:t xml:space="preserve"> system updates, </w:t>
      </w:r>
      <w:r w:rsidR="001F72F5">
        <w:rPr>
          <w:rFonts w:ascii="Times New Roman" w:hAnsi="Times New Roman" w:cs="Times New Roman"/>
          <w:sz w:val="24"/>
          <w:szCs w:val="24"/>
        </w:rPr>
        <w:t xml:space="preserve">carrier certification, </w:t>
      </w:r>
      <w:r w:rsidR="00A94C49">
        <w:rPr>
          <w:rFonts w:ascii="Times New Roman" w:hAnsi="Times New Roman" w:cs="Times New Roman"/>
          <w:sz w:val="24"/>
          <w:szCs w:val="24"/>
        </w:rPr>
        <w:t xml:space="preserve">window shopping, </w:t>
      </w:r>
      <w:r w:rsidR="00642B16">
        <w:rPr>
          <w:rFonts w:ascii="Times New Roman" w:hAnsi="Times New Roman" w:cs="Times New Roman"/>
          <w:sz w:val="24"/>
          <w:szCs w:val="24"/>
        </w:rPr>
        <w:t xml:space="preserve">renewal </w:t>
      </w:r>
      <w:r w:rsidR="00194CEE">
        <w:rPr>
          <w:rFonts w:ascii="Times New Roman" w:hAnsi="Times New Roman" w:cs="Times New Roman"/>
          <w:sz w:val="24"/>
          <w:szCs w:val="24"/>
        </w:rPr>
        <w:t xml:space="preserve">&amp; eligibility </w:t>
      </w:r>
      <w:r w:rsidR="00642B16">
        <w:rPr>
          <w:rFonts w:ascii="Times New Roman" w:hAnsi="Times New Roman" w:cs="Times New Roman"/>
          <w:sz w:val="24"/>
          <w:szCs w:val="24"/>
        </w:rPr>
        <w:t>notices</w:t>
      </w:r>
      <w:r w:rsidR="00194CEE">
        <w:rPr>
          <w:rFonts w:ascii="Times New Roman" w:hAnsi="Times New Roman" w:cs="Times New Roman"/>
          <w:sz w:val="24"/>
          <w:szCs w:val="24"/>
        </w:rPr>
        <w:t>.</w:t>
      </w:r>
    </w:p>
    <w:p w14:paraId="361800C3" w14:textId="5AD97BF1" w:rsidR="00194CEE" w:rsidRDefault="002367B5"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Over 372k renewals for PY26 </w:t>
      </w:r>
    </w:p>
    <w:p w14:paraId="696DE404" w14:textId="0B757638" w:rsidR="002367B5" w:rsidRDefault="00DA5B26"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Shifting federal landscape for PY26 and beyond includ</w:t>
      </w:r>
      <w:r w:rsidR="00E225C4">
        <w:rPr>
          <w:rFonts w:ascii="Times New Roman" w:hAnsi="Times New Roman" w:cs="Times New Roman"/>
          <w:sz w:val="24"/>
          <w:szCs w:val="24"/>
        </w:rPr>
        <w:t xml:space="preserve">es </w:t>
      </w:r>
      <w:r>
        <w:rPr>
          <w:rFonts w:ascii="Times New Roman" w:hAnsi="Times New Roman" w:cs="Times New Roman"/>
          <w:sz w:val="24"/>
          <w:szCs w:val="24"/>
        </w:rPr>
        <w:t>CMS</w:t>
      </w:r>
      <w:r w:rsidR="00A530CE">
        <w:rPr>
          <w:rFonts w:ascii="Times New Roman" w:hAnsi="Times New Roman" w:cs="Times New Roman"/>
          <w:sz w:val="24"/>
          <w:szCs w:val="24"/>
        </w:rPr>
        <w:t xml:space="preserve"> PY26 NBPP rule,</w:t>
      </w:r>
      <w:r>
        <w:rPr>
          <w:rFonts w:ascii="Times New Roman" w:hAnsi="Times New Roman" w:cs="Times New Roman"/>
          <w:sz w:val="24"/>
          <w:szCs w:val="24"/>
        </w:rPr>
        <w:t xml:space="preserve"> </w:t>
      </w:r>
      <w:r w:rsidR="00A530CE">
        <w:rPr>
          <w:rFonts w:ascii="Times New Roman" w:hAnsi="Times New Roman" w:cs="Times New Roman"/>
          <w:sz w:val="24"/>
          <w:szCs w:val="24"/>
        </w:rPr>
        <w:t xml:space="preserve">new program integrity </w:t>
      </w:r>
      <w:r>
        <w:rPr>
          <w:rFonts w:ascii="Times New Roman" w:hAnsi="Times New Roman" w:cs="Times New Roman"/>
          <w:sz w:val="24"/>
          <w:szCs w:val="24"/>
        </w:rPr>
        <w:t xml:space="preserve">rule, </w:t>
      </w:r>
      <w:r w:rsidR="00F178A2">
        <w:rPr>
          <w:rFonts w:ascii="Times New Roman" w:hAnsi="Times New Roman" w:cs="Times New Roman"/>
          <w:sz w:val="24"/>
          <w:szCs w:val="24"/>
        </w:rPr>
        <w:t>federal reconciliation law (H.R. 1)</w:t>
      </w:r>
      <w:r>
        <w:rPr>
          <w:rFonts w:ascii="Times New Roman" w:hAnsi="Times New Roman" w:cs="Times New Roman"/>
          <w:sz w:val="24"/>
          <w:szCs w:val="24"/>
        </w:rPr>
        <w:t xml:space="preserve">, </w:t>
      </w:r>
      <w:r w:rsidR="00DB1203">
        <w:rPr>
          <w:rFonts w:ascii="Times New Roman" w:hAnsi="Times New Roman" w:cs="Times New Roman"/>
          <w:sz w:val="24"/>
          <w:szCs w:val="24"/>
        </w:rPr>
        <w:t xml:space="preserve">immediate eligibility changes (i.e., DACA recipients), </w:t>
      </w:r>
      <w:r w:rsidR="00C815DA">
        <w:rPr>
          <w:rFonts w:ascii="Times New Roman" w:hAnsi="Times New Roman" w:cs="Times New Roman"/>
          <w:sz w:val="24"/>
          <w:szCs w:val="24"/>
        </w:rPr>
        <w:t xml:space="preserve">Medicaid changes, </w:t>
      </w:r>
      <w:r w:rsidR="00F178A2">
        <w:rPr>
          <w:rFonts w:ascii="Times New Roman" w:hAnsi="Times New Roman" w:cs="Times New Roman"/>
          <w:sz w:val="24"/>
          <w:szCs w:val="24"/>
        </w:rPr>
        <w:t>CMS guidance.</w:t>
      </w:r>
    </w:p>
    <w:p w14:paraId="2C31C78D" w14:textId="34450734" w:rsidR="001A3443" w:rsidRDefault="00F206E7"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Review of federal policy changes for PY26, includ</w:t>
      </w:r>
      <w:r w:rsidR="00E225C4">
        <w:rPr>
          <w:rFonts w:ascii="Times New Roman" w:hAnsi="Times New Roman" w:cs="Times New Roman"/>
          <w:sz w:val="24"/>
          <w:szCs w:val="24"/>
        </w:rPr>
        <w:t>es</w:t>
      </w:r>
      <w:r>
        <w:rPr>
          <w:rFonts w:ascii="Times New Roman" w:hAnsi="Times New Roman" w:cs="Times New Roman"/>
          <w:sz w:val="24"/>
          <w:szCs w:val="24"/>
        </w:rPr>
        <w:t xml:space="preserve"> </w:t>
      </w:r>
      <w:r w:rsidR="00647199">
        <w:rPr>
          <w:rFonts w:ascii="Times New Roman" w:hAnsi="Times New Roman" w:cs="Times New Roman"/>
          <w:sz w:val="24"/>
          <w:szCs w:val="24"/>
        </w:rPr>
        <w:t xml:space="preserve">eligibility changes, </w:t>
      </w:r>
      <w:r>
        <w:rPr>
          <w:rFonts w:ascii="Times New Roman" w:hAnsi="Times New Roman" w:cs="Times New Roman"/>
          <w:sz w:val="24"/>
          <w:szCs w:val="24"/>
        </w:rPr>
        <w:t xml:space="preserve">SEP changes, </w:t>
      </w:r>
      <w:r w:rsidR="001F04B3">
        <w:rPr>
          <w:rFonts w:ascii="Times New Roman" w:hAnsi="Times New Roman" w:cs="Times New Roman"/>
          <w:sz w:val="24"/>
          <w:szCs w:val="24"/>
        </w:rPr>
        <w:t xml:space="preserve">potential expiration of </w:t>
      </w:r>
      <w:proofErr w:type="spellStart"/>
      <w:r w:rsidR="001F04B3">
        <w:rPr>
          <w:rFonts w:ascii="Times New Roman" w:hAnsi="Times New Roman" w:cs="Times New Roman"/>
          <w:sz w:val="24"/>
          <w:szCs w:val="24"/>
        </w:rPr>
        <w:t>ePTCs</w:t>
      </w:r>
      <w:proofErr w:type="spellEnd"/>
      <w:r w:rsidR="001F04B3">
        <w:rPr>
          <w:rFonts w:ascii="Times New Roman" w:hAnsi="Times New Roman" w:cs="Times New Roman"/>
          <w:sz w:val="24"/>
          <w:szCs w:val="24"/>
        </w:rPr>
        <w:t xml:space="preserve"> on 12/31/2025, </w:t>
      </w:r>
      <w:r w:rsidR="001A3443">
        <w:rPr>
          <w:rFonts w:ascii="Times New Roman" w:hAnsi="Times New Roman" w:cs="Times New Roman"/>
          <w:sz w:val="24"/>
          <w:szCs w:val="24"/>
        </w:rPr>
        <w:t xml:space="preserve">catastrophic </w:t>
      </w:r>
      <w:r w:rsidR="00D11B17">
        <w:rPr>
          <w:rFonts w:ascii="Times New Roman" w:hAnsi="Times New Roman" w:cs="Times New Roman"/>
          <w:sz w:val="24"/>
          <w:szCs w:val="24"/>
        </w:rPr>
        <w:t>hardship exemption</w:t>
      </w:r>
      <w:r w:rsidR="001A3443">
        <w:rPr>
          <w:rFonts w:ascii="Times New Roman" w:hAnsi="Times New Roman" w:cs="Times New Roman"/>
          <w:sz w:val="24"/>
          <w:szCs w:val="24"/>
        </w:rPr>
        <w:t xml:space="preserve"> changes.</w:t>
      </w:r>
    </w:p>
    <w:p w14:paraId="3406CE1D" w14:textId="77777777" w:rsidR="001A3443" w:rsidRDefault="001A3443" w:rsidP="001A3443">
      <w:pPr>
        <w:widowControl w:val="0"/>
        <w:tabs>
          <w:tab w:val="left" w:pos="2366"/>
        </w:tabs>
        <w:autoSpaceDE w:val="0"/>
        <w:autoSpaceDN w:val="0"/>
        <w:spacing w:before="100" w:beforeAutospacing="1" w:after="0" w:line="240" w:lineRule="auto"/>
        <w:rPr>
          <w:rFonts w:ascii="Times New Roman" w:hAnsi="Times New Roman" w:cs="Times New Roman"/>
          <w:sz w:val="24"/>
          <w:szCs w:val="24"/>
        </w:rPr>
      </w:pPr>
    </w:p>
    <w:p w14:paraId="052E1D03" w14:textId="25B93197" w:rsidR="00640A81" w:rsidRPr="001A3443" w:rsidRDefault="00640A81" w:rsidP="001A3443">
      <w:pPr>
        <w:widowControl w:val="0"/>
        <w:tabs>
          <w:tab w:val="left" w:pos="2366"/>
        </w:tabs>
        <w:autoSpaceDE w:val="0"/>
        <w:autoSpaceDN w:val="0"/>
        <w:spacing w:before="100" w:beforeAutospacing="1" w:after="0" w:line="240" w:lineRule="auto"/>
        <w:rPr>
          <w:rFonts w:ascii="Times New Roman" w:hAnsi="Times New Roman" w:cs="Times New Roman"/>
          <w:sz w:val="24"/>
          <w:szCs w:val="24"/>
        </w:rPr>
      </w:pPr>
    </w:p>
    <w:p w14:paraId="32C0770E" w14:textId="28A58FA0" w:rsidR="00E97262" w:rsidRDefault="00DC3CDE"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Federal Court stayed several program integrity rule provisions including </w:t>
      </w:r>
      <w:r w:rsidR="00E97262">
        <w:rPr>
          <w:rFonts w:ascii="Times New Roman" w:hAnsi="Times New Roman" w:cs="Times New Roman"/>
          <w:sz w:val="24"/>
          <w:szCs w:val="24"/>
        </w:rPr>
        <w:t xml:space="preserve">coverage denials for past due premiums, increased </w:t>
      </w:r>
      <w:r w:rsidR="002D4AAF">
        <w:rPr>
          <w:rFonts w:ascii="Times New Roman" w:hAnsi="Times New Roman" w:cs="Times New Roman"/>
          <w:sz w:val="24"/>
          <w:szCs w:val="24"/>
        </w:rPr>
        <w:t>verifications (e.g., income), reduced access to PTC</w:t>
      </w:r>
      <w:r w:rsidR="0056587D">
        <w:rPr>
          <w:rFonts w:ascii="Times New Roman" w:hAnsi="Times New Roman" w:cs="Times New Roman"/>
          <w:sz w:val="24"/>
          <w:szCs w:val="24"/>
        </w:rPr>
        <w:t xml:space="preserve"> for failure to reconcile tax credits</w:t>
      </w:r>
      <w:r w:rsidR="002D4AAF">
        <w:rPr>
          <w:rFonts w:ascii="Times New Roman" w:hAnsi="Times New Roman" w:cs="Times New Roman"/>
          <w:sz w:val="24"/>
          <w:szCs w:val="24"/>
        </w:rPr>
        <w:t>, wider actuarial value ranges</w:t>
      </w:r>
    </w:p>
    <w:p w14:paraId="0966C709" w14:textId="5D6430E7" w:rsidR="00DC3CDE" w:rsidRDefault="00D1160B"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Policy changes effective PY27/28 include </w:t>
      </w:r>
      <w:r w:rsidR="004B723E">
        <w:rPr>
          <w:rFonts w:ascii="Times New Roman" w:hAnsi="Times New Roman" w:cs="Times New Roman"/>
          <w:sz w:val="24"/>
          <w:szCs w:val="24"/>
        </w:rPr>
        <w:t>9-week</w:t>
      </w:r>
      <w:r w:rsidR="00DD43E0">
        <w:rPr>
          <w:rFonts w:ascii="Times New Roman" w:hAnsi="Times New Roman" w:cs="Times New Roman"/>
          <w:sz w:val="24"/>
          <w:szCs w:val="24"/>
        </w:rPr>
        <w:t xml:space="preserve"> OE for all states, </w:t>
      </w:r>
      <w:r w:rsidR="008A0FAC">
        <w:rPr>
          <w:rFonts w:ascii="Times New Roman" w:hAnsi="Times New Roman" w:cs="Times New Roman"/>
          <w:sz w:val="24"/>
          <w:szCs w:val="24"/>
        </w:rPr>
        <w:t xml:space="preserve">loss of </w:t>
      </w:r>
      <w:r w:rsidR="00513468">
        <w:rPr>
          <w:rFonts w:ascii="Times New Roman" w:hAnsi="Times New Roman" w:cs="Times New Roman"/>
          <w:sz w:val="24"/>
          <w:szCs w:val="24"/>
        </w:rPr>
        <w:t xml:space="preserve">financial assistance for select </w:t>
      </w:r>
      <w:r w:rsidR="009B565A">
        <w:rPr>
          <w:rFonts w:ascii="Times New Roman" w:hAnsi="Times New Roman" w:cs="Times New Roman"/>
          <w:sz w:val="24"/>
          <w:szCs w:val="24"/>
        </w:rPr>
        <w:t xml:space="preserve">legally present </w:t>
      </w:r>
      <w:r w:rsidR="00513468">
        <w:rPr>
          <w:rFonts w:ascii="Times New Roman" w:hAnsi="Times New Roman" w:cs="Times New Roman"/>
          <w:sz w:val="24"/>
          <w:szCs w:val="24"/>
        </w:rPr>
        <w:t xml:space="preserve">groups, </w:t>
      </w:r>
      <w:r w:rsidR="00CB074B">
        <w:rPr>
          <w:rFonts w:ascii="Times New Roman" w:hAnsi="Times New Roman" w:cs="Times New Roman"/>
          <w:sz w:val="24"/>
          <w:szCs w:val="24"/>
        </w:rPr>
        <w:t xml:space="preserve">loss of APTC and QHP eligibility if loss of Medicaid due to work requirements, </w:t>
      </w:r>
      <w:r w:rsidR="00CA24FF">
        <w:rPr>
          <w:rFonts w:ascii="Times New Roman" w:hAnsi="Times New Roman" w:cs="Times New Roman"/>
          <w:sz w:val="24"/>
          <w:szCs w:val="24"/>
        </w:rPr>
        <w:t>no auto-reenrollment starting in PY28.</w:t>
      </w:r>
    </w:p>
    <w:p w14:paraId="1E1E9F94" w14:textId="2B862E3E" w:rsidR="00CA24FF" w:rsidRDefault="001E5348"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Highlights of PY26 outreach, marketing, education</w:t>
      </w:r>
      <w:r w:rsidR="000E5D3E">
        <w:rPr>
          <w:rFonts w:ascii="Times New Roman" w:hAnsi="Times New Roman" w:cs="Times New Roman"/>
          <w:sz w:val="24"/>
          <w:szCs w:val="24"/>
        </w:rPr>
        <w:t xml:space="preserve"> – focus on importance of coverage, </w:t>
      </w:r>
      <w:r w:rsidR="00570C05">
        <w:rPr>
          <w:rFonts w:ascii="Times New Roman" w:hAnsi="Times New Roman" w:cs="Times New Roman"/>
          <w:sz w:val="24"/>
          <w:szCs w:val="24"/>
        </w:rPr>
        <w:t>OE extended to 1/30/26, “We are here to help”</w:t>
      </w:r>
    </w:p>
    <w:p w14:paraId="45478793" w14:textId="3B2E8E0A" w:rsidR="00570C05" w:rsidRDefault="00967325"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Review of </w:t>
      </w:r>
      <w:proofErr w:type="spellStart"/>
      <w:r>
        <w:rPr>
          <w:rFonts w:ascii="Times New Roman" w:hAnsi="Times New Roman" w:cs="Times New Roman"/>
          <w:sz w:val="24"/>
          <w:szCs w:val="24"/>
        </w:rPr>
        <w:t>ePTCs</w:t>
      </w:r>
      <w:proofErr w:type="spellEnd"/>
      <w:r>
        <w:rPr>
          <w:rFonts w:ascii="Times New Roman" w:hAnsi="Times New Roman" w:cs="Times New Roman"/>
          <w:sz w:val="24"/>
          <w:szCs w:val="24"/>
        </w:rPr>
        <w:t xml:space="preserve"> – established in 2021, lifted income limits for APTC eligibility, </w:t>
      </w:r>
      <w:r w:rsidR="00C53F56">
        <w:rPr>
          <w:rFonts w:ascii="Times New Roman" w:hAnsi="Times New Roman" w:cs="Times New Roman"/>
          <w:sz w:val="24"/>
          <w:szCs w:val="24"/>
        </w:rPr>
        <w:t xml:space="preserve">increased amount at all income levels, highlights of enrollment since </w:t>
      </w:r>
      <w:proofErr w:type="spellStart"/>
      <w:r w:rsidR="00C53F56">
        <w:rPr>
          <w:rFonts w:ascii="Times New Roman" w:hAnsi="Times New Roman" w:cs="Times New Roman"/>
          <w:sz w:val="24"/>
          <w:szCs w:val="24"/>
        </w:rPr>
        <w:t>ePTCs</w:t>
      </w:r>
      <w:proofErr w:type="spellEnd"/>
      <w:r w:rsidR="009730EB">
        <w:rPr>
          <w:rFonts w:ascii="Times New Roman" w:hAnsi="Times New Roman" w:cs="Times New Roman"/>
          <w:sz w:val="24"/>
          <w:szCs w:val="24"/>
        </w:rPr>
        <w:t xml:space="preserve"> – increased enrollment along income continuum with a concentration at &lt;150% FPL and &gt;400% FPL</w:t>
      </w:r>
    </w:p>
    <w:p w14:paraId="56B59982" w14:textId="58066F03" w:rsidR="00507748" w:rsidRDefault="009B7392"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If </w:t>
      </w:r>
      <w:proofErr w:type="spellStart"/>
      <w:r>
        <w:rPr>
          <w:rFonts w:ascii="Times New Roman" w:hAnsi="Times New Roman" w:cs="Times New Roman"/>
          <w:sz w:val="24"/>
          <w:szCs w:val="24"/>
        </w:rPr>
        <w:t>ePTCs</w:t>
      </w:r>
      <w:proofErr w:type="spellEnd"/>
      <w:r>
        <w:rPr>
          <w:rFonts w:ascii="Times New Roman" w:hAnsi="Times New Roman" w:cs="Times New Roman"/>
          <w:sz w:val="24"/>
          <w:szCs w:val="24"/>
        </w:rPr>
        <w:t xml:space="preserve"> expire no more APTC for </w:t>
      </w:r>
      <w:r w:rsidR="00773DBA">
        <w:rPr>
          <w:rFonts w:ascii="Times New Roman" w:hAnsi="Times New Roman" w:cs="Times New Roman"/>
          <w:sz w:val="24"/>
          <w:szCs w:val="24"/>
        </w:rPr>
        <w:t>400% FPL</w:t>
      </w:r>
      <w:r w:rsidR="004B723E">
        <w:rPr>
          <w:rFonts w:ascii="Times New Roman" w:hAnsi="Times New Roman" w:cs="Times New Roman"/>
          <w:sz w:val="24"/>
          <w:szCs w:val="24"/>
        </w:rPr>
        <w:t>+ population</w:t>
      </w:r>
      <w:r w:rsidR="00773DBA">
        <w:rPr>
          <w:rFonts w:ascii="Times New Roman" w:hAnsi="Times New Roman" w:cs="Times New Roman"/>
          <w:sz w:val="24"/>
          <w:szCs w:val="24"/>
        </w:rPr>
        <w:t>, lower income population,100-150% FPL, will not have access to $0 premium plan</w:t>
      </w:r>
      <w:r w:rsidR="00507748">
        <w:rPr>
          <w:rFonts w:ascii="Times New Roman" w:hAnsi="Times New Roman" w:cs="Times New Roman"/>
          <w:sz w:val="24"/>
          <w:szCs w:val="24"/>
        </w:rPr>
        <w:t>s, APTC will decline for all current enrollees receiving APTC, net premiums will increase.</w:t>
      </w:r>
    </w:p>
    <w:p w14:paraId="57759BCD" w14:textId="7CAD105D" w:rsidR="00956280" w:rsidRDefault="00507748"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Net p</w:t>
      </w:r>
      <w:r w:rsidR="00956280">
        <w:rPr>
          <w:rFonts w:ascii="Times New Roman" w:hAnsi="Times New Roman" w:cs="Times New Roman"/>
          <w:sz w:val="24"/>
          <w:szCs w:val="24"/>
        </w:rPr>
        <w:t>remium increases will be experienced across all counties</w:t>
      </w:r>
      <w:r w:rsidR="00A21082">
        <w:rPr>
          <w:rFonts w:ascii="Times New Roman" w:hAnsi="Times New Roman" w:cs="Times New Roman"/>
          <w:sz w:val="24"/>
          <w:szCs w:val="24"/>
        </w:rPr>
        <w:t>/regions of the states</w:t>
      </w:r>
      <w:r w:rsidR="00BC6A62">
        <w:rPr>
          <w:rFonts w:ascii="Times New Roman" w:hAnsi="Times New Roman" w:cs="Times New Roman"/>
          <w:sz w:val="24"/>
          <w:szCs w:val="24"/>
        </w:rPr>
        <w:t xml:space="preserve">; consumers most at risk of leaving Marketplace </w:t>
      </w:r>
      <w:r w:rsidR="009B7392">
        <w:rPr>
          <w:rFonts w:ascii="Times New Roman" w:hAnsi="Times New Roman" w:cs="Times New Roman"/>
          <w:sz w:val="24"/>
          <w:szCs w:val="24"/>
        </w:rPr>
        <w:t>are 100-150% FPL and &gt;400% FPL due to affordability</w:t>
      </w:r>
      <w:r w:rsidR="00870EC3">
        <w:rPr>
          <w:rFonts w:ascii="Times New Roman" w:hAnsi="Times New Roman" w:cs="Times New Roman"/>
          <w:sz w:val="24"/>
          <w:szCs w:val="24"/>
        </w:rPr>
        <w:t>; total estimate of at-risk population is 100k.</w:t>
      </w:r>
    </w:p>
    <w:p w14:paraId="749D36AC" w14:textId="77777777" w:rsidR="002A196E" w:rsidRDefault="002A196E" w:rsidP="002A196E">
      <w:pPr>
        <w:widowControl w:val="0"/>
        <w:tabs>
          <w:tab w:val="left" w:pos="2366"/>
        </w:tabs>
        <w:autoSpaceDE w:val="0"/>
        <w:autoSpaceDN w:val="0"/>
        <w:spacing w:before="100" w:beforeAutospacing="1" w:after="0" w:line="240" w:lineRule="auto"/>
        <w:rPr>
          <w:rFonts w:ascii="Times New Roman" w:hAnsi="Times New Roman" w:cs="Times New Roman"/>
          <w:sz w:val="24"/>
          <w:szCs w:val="24"/>
        </w:rPr>
      </w:pPr>
    </w:p>
    <w:p w14:paraId="2430ECC3" w14:textId="4F7FC8F0" w:rsidR="002A196E" w:rsidRPr="002A196E" w:rsidRDefault="002A196E" w:rsidP="002A196E">
      <w:pPr>
        <w:widowControl w:val="0"/>
        <w:tabs>
          <w:tab w:val="left" w:pos="2366"/>
        </w:tabs>
        <w:autoSpaceDE w:val="0"/>
        <w:autoSpaceDN w:val="0"/>
        <w:spacing w:after="0" w:line="240" w:lineRule="auto"/>
        <w:rPr>
          <w:rFonts w:ascii="Times New Roman" w:hAnsi="Times New Roman" w:cs="Times New Roman"/>
          <w:sz w:val="24"/>
          <w:szCs w:val="24"/>
        </w:rPr>
      </w:pPr>
      <w:r>
        <w:rPr>
          <w:rFonts w:ascii="Times New Roman" w:hAnsi="Times New Roman" w:cs="Times New Roman"/>
          <w:b/>
          <w:bCs/>
          <w:sz w:val="24"/>
          <w:szCs w:val="24"/>
        </w:rPr>
        <w:t>III</w:t>
      </w:r>
      <w:r w:rsidRPr="00732C54">
        <w:rPr>
          <w:rFonts w:ascii="Times New Roman" w:hAnsi="Times New Roman" w:cs="Times New Roman"/>
          <w:b/>
          <w:bCs/>
          <w:sz w:val="24"/>
          <w:szCs w:val="24"/>
        </w:rPr>
        <w:t xml:space="preserve">. </w:t>
      </w:r>
      <w:r w:rsidRPr="002A196E">
        <w:rPr>
          <w:rFonts w:ascii="Times New Roman" w:hAnsi="Times New Roman" w:cs="Times New Roman"/>
          <w:b/>
          <w:bCs/>
          <w:sz w:val="24"/>
          <w:szCs w:val="24"/>
        </w:rPr>
        <w:t>Commonwealth Health Reinsurance Program (CHRP)</w:t>
      </w:r>
      <w:r>
        <w:rPr>
          <w:rFonts w:ascii="Times New Roman" w:hAnsi="Times New Roman" w:cs="Times New Roman"/>
          <w:b/>
          <w:bCs/>
          <w:sz w:val="24"/>
          <w:szCs w:val="24"/>
        </w:rPr>
        <w:t xml:space="preserve"> – </w:t>
      </w:r>
      <w:r>
        <w:rPr>
          <w:rFonts w:ascii="Times New Roman" w:hAnsi="Times New Roman" w:cs="Times New Roman"/>
          <w:sz w:val="24"/>
          <w:szCs w:val="24"/>
        </w:rPr>
        <w:t>Bradley Marsh, Bureau of Insurance, SCC</w:t>
      </w:r>
      <w:bookmarkStart w:id="0" w:name="_Hlk218586296"/>
    </w:p>
    <w:p w14:paraId="4186621A" w14:textId="7CD3BFED" w:rsidR="00DC3CDE" w:rsidRDefault="008B041F"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8B041F">
        <w:rPr>
          <w:rFonts w:ascii="Times New Roman" w:hAnsi="Times New Roman" w:cs="Times New Roman"/>
          <w:sz w:val="24"/>
          <w:szCs w:val="24"/>
        </w:rPr>
        <w:t>Status for CHRP Benefit Year 2024 (BY2024)</w:t>
      </w:r>
    </w:p>
    <w:bookmarkEnd w:id="0"/>
    <w:p w14:paraId="3B8ED060" w14:textId="1960670F" w:rsidR="008B041F" w:rsidRDefault="008B041F"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8B041F">
        <w:rPr>
          <w:rFonts w:ascii="Times New Roman" w:hAnsi="Times New Roman" w:cs="Times New Roman"/>
          <w:sz w:val="24"/>
          <w:szCs w:val="24"/>
        </w:rPr>
        <w:t>Timeline for CHRP BY2026</w:t>
      </w:r>
    </w:p>
    <w:p w14:paraId="59342F25" w14:textId="313FB4BC" w:rsidR="008B041F" w:rsidRDefault="00DD790F"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Overview of how the reinsurance program works</w:t>
      </w:r>
    </w:p>
    <w:p w14:paraId="0DBFFE29" w14:textId="33115E1C" w:rsidR="00DD790F" w:rsidRDefault="001437D7"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1437D7">
        <w:rPr>
          <w:rFonts w:ascii="Times New Roman" w:hAnsi="Times New Roman" w:cs="Times New Roman"/>
          <w:sz w:val="24"/>
          <w:szCs w:val="24"/>
        </w:rPr>
        <w:t>CHRP Payment Parameters BY2023-BY2026</w:t>
      </w:r>
    </w:p>
    <w:p w14:paraId="112CDCC1" w14:textId="77777777" w:rsidR="00DE62E9" w:rsidRPr="00DE62E9" w:rsidRDefault="00DE62E9" w:rsidP="00DE62E9">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DE62E9">
        <w:rPr>
          <w:rFonts w:ascii="Times New Roman" w:hAnsi="Times New Roman" w:cs="Times New Roman"/>
          <w:sz w:val="24"/>
          <w:szCs w:val="24"/>
        </w:rPr>
        <w:t>Federal “pass-through” funding is based on projected federal savings from reduced premium tax credits (PTCs) due to lower health insurance premiums.</w:t>
      </w:r>
    </w:p>
    <w:p w14:paraId="6E37030F" w14:textId="011D860C" w:rsidR="001437D7" w:rsidRDefault="00DE62E9" w:rsidP="00DE62E9">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DE62E9">
        <w:rPr>
          <w:rFonts w:ascii="Times New Roman" w:hAnsi="Times New Roman" w:cs="Times New Roman"/>
          <w:sz w:val="24"/>
          <w:szCs w:val="24"/>
        </w:rPr>
        <w:t>Estimates of program costs are developed 8 – 10 months prior to a BY and more than 2 years prior to claims being finalized and paid.</w:t>
      </w:r>
    </w:p>
    <w:p w14:paraId="00672D16" w14:textId="611C78B7" w:rsidR="008B041F" w:rsidRDefault="00D86E97"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D86E97">
        <w:rPr>
          <w:rFonts w:ascii="Times New Roman" w:hAnsi="Times New Roman" w:cs="Times New Roman"/>
          <w:sz w:val="24"/>
          <w:szCs w:val="24"/>
        </w:rPr>
        <w:t>Current estimates assume that enhancements to premium tax credits (PTCs) from the 2022 Inflation Reduction Act will expire prior to BY2026.</w:t>
      </w:r>
    </w:p>
    <w:p w14:paraId="0A2C7C6C" w14:textId="1AB6EC4F" w:rsidR="00D86E97" w:rsidRDefault="007315D9"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Review of i</w:t>
      </w:r>
      <w:r w:rsidRPr="007315D9">
        <w:rPr>
          <w:rFonts w:ascii="Times New Roman" w:hAnsi="Times New Roman" w:cs="Times New Roman"/>
          <w:sz w:val="24"/>
          <w:szCs w:val="24"/>
        </w:rPr>
        <w:t>mpacts of potential federal changes on CHRP</w:t>
      </w:r>
      <w:r>
        <w:rPr>
          <w:rFonts w:ascii="Times New Roman" w:hAnsi="Times New Roman" w:cs="Times New Roman"/>
          <w:sz w:val="24"/>
          <w:szCs w:val="24"/>
        </w:rPr>
        <w:t xml:space="preserve"> – reduced federal </w:t>
      </w:r>
      <w:r w:rsidR="004B723E">
        <w:rPr>
          <w:rFonts w:ascii="Times New Roman" w:hAnsi="Times New Roman" w:cs="Times New Roman"/>
          <w:sz w:val="24"/>
          <w:szCs w:val="24"/>
        </w:rPr>
        <w:t>pass-through</w:t>
      </w:r>
      <w:r>
        <w:rPr>
          <w:rFonts w:ascii="Times New Roman" w:hAnsi="Times New Roman" w:cs="Times New Roman"/>
          <w:sz w:val="24"/>
          <w:szCs w:val="24"/>
        </w:rPr>
        <w:t xml:space="preserve"> funds</w:t>
      </w:r>
    </w:p>
    <w:p w14:paraId="28FE0932" w14:textId="77777777" w:rsidR="0064029A" w:rsidRDefault="00FB075E" w:rsidP="00640A81">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Upcoming policy decisions: </w:t>
      </w:r>
    </w:p>
    <w:p w14:paraId="5C47765D" w14:textId="6BC96A40" w:rsidR="007315D9" w:rsidRDefault="00FB075E" w:rsidP="0064029A">
      <w:pPr>
        <w:pStyle w:val="ListParagraph"/>
        <w:widowControl w:val="0"/>
        <w:numPr>
          <w:ilvl w:val="1"/>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FB075E">
        <w:rPr>
          <w:rFonts w:ascii="Times New Roman" w:hAnsi="Times New Roman" w:cs="Times New Roman"/>
          <w:sz w:val="24"/>
          <w:szCs w:val="24"/>
        </w:rPr>
        <w:t>How much funding to appropriate from the general fund in the upcoming biennium for BY2025 (paid in State Fiscal year 2027) and BY2026 (paid in State Fiscal Year 2028).</w:t>
      </w:r>
    </w:p>
    <w:p w14:paraId="64C50AED" w14:textId="405B0219" w:rsidR="0064029A" w:rsidRDefault="0064029A" w:rsidP="0064029A">
      <w:pPr>
        <w:pStyle w:val="ListParagraph"/>
        <w:widowControl w:val="0"/>
        <w:numPr>
          <w:ilvl w:val="1"/>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64029A">
        <w:rPr>
          <w:rFonts w:ascii="Times New Roman" w:hAnsi="Times New Roman" w:cs="Times New Roman"/>
          <w:sz w:val="24"/>
          <w:szCs w:val="24"/>
        </w:rPr>
        <w:t>What premium reduction target to set for BY2027</w:t>
      </w:r>
    </w:p>
    <w:p w14:paraId="7493694F" w14:textId="35624A48" w:rsidR="005012EC" w:rsidRDefault="005012EC" w:rsidP="0064029A">
      <w:pPr>
        <w:pStyle w:val="ListParagraph"/>
        <w:widowControl w:val="0"/>
        <w:numPr>
          <w:ilvl w:val="1"/>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5012EC">
        <w:rPr>
          <w:rFonts w:ascii="Times New Roman" w:hAnsi="Times New Roman" w:cs="Times New Roman"/>
          <w:sz w:val="24"/>
          <w:szCs w:val="24"/>
        </w:rPr>
        <w:t xml:space="preserve">Whether to apply for an extension of the State Innovation Waiver </w:t>
      </w:r>
    </w:p>
    <w:p w14:paraId="1B67D232" w14:textId="0F972B3C" w:rsidR="005012EC" w:rsidRDefault="005012EC" w:rsidP="005012EC">
      <w:pPr>
        <w:pStyle w:val="ListParagraph"/>
        <w:widowControl w:val="0"/>
        <w:numPr>
          <w:ilvl w:val="2"/>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5012EC">
        <w:rPr>
          <w:rFonts w:ascii="Times New Roman" w:hAnsi="Times New Roman" w:cs="Times New Roman"/>
          <w:sz w:val="24"/>
          <w:szCs w:val="24"/>
        </w:rPr>
        <w:t xml:space="preserve">how long of an extension should be requested, and </w:t>
      </w:r>
    </w:p>
    <w:p w14:paraId="3A80881E" w14:textId="0C9A6D82" w:rsidR="005012EC" w:rsidRDefault="005012EC" w:rsidP="005012EC">
      <w:pPr>
        <w:pStyle w:val="ListParagraph"/>
        <w:widowControl w:val="0"/>
        <w:numPr>
          <w:ilvl w:val="2"/>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5012EC">
        <w:rPr>
          <w:rFonts w:ascii="Times New Roman" w:hAnsi="Times New Roman" w:cs="Times New Roman"/>
          <w:sz w:val="24"/>
          <w:szCs w:val="24"/>
        </w:rPr>
        <w:t>whether changes to the waiver should be requested contemporaneous with the extension request</w:t>
      </w:r>
    </w:p>
    <w:p w14:paraId="31C349F2" w14:textId="77777777" w:rsidR="00DC3CDE" w:rsidRPr="002A196E" w:rsidRDefault="00DC3CDE" w:rsidP="002A196E">
      <w:pPr>
        <w:widowControl w:val="0"/>
        <w:tabs>
          <w:tab w:val="left" w:pos="2366"/>
        </w:tabs>
        <w:autoSpaceDE w:val="0"/>
        <w:autoSpaceDN w:val="0"/>
        <w:spacing w:before="100" w:beforeAutospacing="1" w:after="0" w:line="240" w:lineRule="auto"/>
        <w:ind w:left="360"/>
        <w:rPr>
          <w:rFonts w:ascii="Times New Roman" w:hAnsi="Times New Roman" w:cs="Times New Roman"/>
          <w:sz w:val="24"/>
          <w:szCs w:val="24"/>
        </w:rPr>
      </w:pPr>
    </w:p>
    <w:p w14:paraId="7C9F0AE6" w14:textId="6A17F3C9" w:rsidR="000D357A" w:rsidRPr="005E3B86" w:rsidRDefault="00F10C22" w:rsidP="000D357A">
      <w:pPr>
        <w:widowControl w:val="0"/>
        <w:tabs>
          <w:tab w:val="left" w:pos="2366"/>
        </w:tabs>
        <w:autoSpaceDE w:val="0"/>
        <w:autoSpaceDN w:val="0"/>
        <w:spacing w:after="0" w:line="240" w:lineRule="auto"/>
        <w:rPr>
          <w:rFonts w:ascii="Times New Roman" w:hAnsi="Times New Roman" w:cs="Times New Roman"/>
          <w:b/>
          <w:bCs/>
          <w:sz w:val="24"/>
          <w:szCs w:val="24"/>
        </w:rPr>
      </w:pPr>
      <w:r w:rsidRPr="00F10C22">
        <w:rPr>
          <w:rFonts w:ascii="Times New Roman" w:hAnsi="Times New Roman" w:cs="Times New Roman"/>
          <w:b/>
          <w:bCs/>
          <w:sz w:val="24"/>
          <w:szCs w:val="24"/>
        </w:rPr>
        <w:t>I</w:t>
      </w:r>
      <w:r>
        <w:rPr>
          <w:rFonts w:ascii="Times New Roman" w:hAnsi="Times New Roman" w:cs="Times New Roman"/>
          <w:b/>
          <w:bCs/>
          <w:sz w:val="24"/>
          <w:szCs w:val="24"/>
        </w:rPr>
        <w:t>V</w:t>
      </w:r>
      <w:r w:rsidRPr="00F10C22">
        <w:rPr>
          <w:rFonts w:ascii="Times New Roman" w:hAnsi="Times New Roman" w:cs="Times New Roman"/>
          <w:b/>
          <w:bCs/>
          <w:sz w:val="24"/>
          <w:szCs w:val="24"/>
        </w:rPr>
        <w:t>.</w:t>
      </w:r>
      <w:r w:rsidR="00B651B0" w:rsidRPr="00B651B0">
        <w:t xml:space="preserve"> </w:t>
      </w:r>
      <w:r w:rsidR="00B651B0" w:rsidRPr="00B651B0">
        <w:rPr>
          <w:rFonts w:ascii="Times New Roman" w:hAnsi="Times New Roman" w:cs="Times New Roman"/>
          <w:b/>
          <w:bCs/>
          <w:sz w:val="24"/>
          <w:szCs w:val="24"/>
        </w:rPr>
        <w:t>Marketplace Coverage Affordability: A Look at State-Based Marketplace Subsidy Programs</w:t>
      </w:r>
      <w:r w:rsidR="00B651B0">
        <w:rPr>
          <w:rFonts w:ascii="Times New Roman" w:hAnsi="Times New Roman" w:cs="Times New Roman"/>
          <w:b/>
          <w:bCs/>
          <w:sz w:val="24"/>
          <w:szCs w:val="24"/>
        </w:rPr>
        <w:t xml:space="preserve"> – </w:t>
      </w:r>
      <w:r w:rsidR="00B651B0">
        <w:rPr>
          <w:rFonts w:ascii="Times New Roman" w:hAnsi="Times New Roman" w:cs="Times New Roman"/>
          <w:sz w:val="24"/>
          <w:szCs w:val="24"/>
        </w:rPr>
        <w:t xml:space="preserve">Erin Glossop, National </w:t>
      </w:r>
      <w:r w:rsidR="000D357A">
        <w:rPr>
          <w:rFonts w:ascii="Times New Roman" w:hAnsi="Times New Roman" w:cs="Times New Roman"/>
          <w:sz w:val="24"/>
          <w:szCs w:val="24"/>
        </w:rPr>
        <w:t>Conference of State Legislatures</w:t>
      </w:r>
      <w:r w:rsidRPr="00F10C22">
        <w:rPr>
          <w:rFonts w:ascii="Times New Roman" w:hAnsi="Times New Roman" w:cs="Times New Roman"/>
          <w:b/>
          <w:bCs/>
          <w:sz w:val="24"/>
          <w:szCs w:val="24"/>
        </w:rPr>
        <w:t xml:space="preserve"> </w:t>
      </w:r>
    </w:p>
    <w:p w14:paraId="7AE7D7E0" w14:textId="77777777" w:rsidR="002E612C" w:rsidRDefault="002E612C" w:rsidP="005E3B86">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Review of Premium Tax Credits prior to </w:t>
      </w:r>
      <w:proofErr w:type="spellStart"/>
      <w:r>
        <w:rPr>
          <w:rFonts w:ascii="Times New Roman" w:hAnsi="Times New Roman" w:cs="Times New Roman"/>
          <w:sz w:val="24"/>
          <w:szCs w:val="24"/>
        </w:rPr>
        <w:t>ePTC</w:t>
      </w:r>
      <w:proofErr w:type="spellEnd"/>
      <w:r>
        <w:rPr>
          <w:rFonts w:ascii="Times New Roman" w:hAnsi="Times New Roman" w:cs="Times New Roman"/>
          <w:sz w:val="24"/>
          <w:szCs w:val="24"/>
        </w:rPr>
        <w:t xml:space="preserve"> provision in ARP and extended in IRA</w:t>
      </w:r>
    </w:p>
    <w:p w14:paraId="13D3ED1F" w14:textId="2F67BB0A" w:rsidR="00BD499C" w:rsidRDefault="0054254E" w:rsidP="002E516B">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54254E">
        <w:rPr>
          <w:rFonts w:ascii="Times New Roman" w:hAnsi="Times New Roman" w:cs="Times New Roman"/>
          <w:sz w:val="24"/>
          <w:szCs w:val="24"/>
        </w:rPr>
        <w:t>California began its </w:t>
      </w:r>
      <w:r w:rsidRPr="0054254E">
        <w:rPr>
          <w:rFonts w:ascii="Times New Roman" w:hAnsi="Times New Roman" w:cs="Times New Roman"/>
          <w:sz w:val="24"/>
          <w:szCs w:val="24"/>
        </w:rPr>
        <w:t xml:space="preserve">state funded </w:t>
      </w:r>
      <w:r w:rsidRPr="0054254E">
        <w:rPr>
          <w:rFonts w:ascii="Times New Roman" w:hAnsi="Times New Roman" w:cs="Times New Roman"/>
          <w:sz w:val="24"/>
          <w:szCs w:val="24"/>
        </w:rPr>
        <w:t>subsidy program in 2020. Discontinued it in 2022. Implemented a new enhanced cost-sharing reduction (CSR) program in 2024.</w:t>
      </w:r>
    </w:p>
    <w:p w14:paraId="613A7094" w14:textId="1D3F3DDB" w:rsidR="0054254E" w:rsidRPr="0054254E" w:rsidRDefault="00874CB1" w:rsidP="002E516B">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874CB1">
        <w:rPr>
          <w:rFonts w:ascii="Times New Roman" w:hAnsi="Times New Roman" w:cs="Times New Roman"/>
          <w:sz w:val="24"/>
          <w:szCs w:val="24"/>
        </w:rPr>
        <w:t>In 2022, Colorado began offering cost-sharing subsidies on its marketplace.</w:t>
      </w:r>
      <w:r w:rsidRPr="00874CB1">
        <w:t xml:space="preserve"> </w:t>
      </w:r>
      <w:r w:rsidRPr="00874CB1">
        <w:rPr>
          <w:rFonts w:ascii="Times New Roman" w:hAnsi="Times New Roman" w:cs="Times New Roman"/>
          <w:sz w:val="24"/>
          <w:szCs w:val="24"/>
        </w:rPr>
        <w:t>Beginning in 2026, Colorado will transition from a cost-sharing subsidy to an extra premium subsidy.</w:t>
      </w:r>
    </w:p>
    <w:p w14:paraId="34D0AC21" w14:textId="77777777" w:rsidR="004612DB" w:rsidRPr="004612DB" w:rsidRDefault="000742DE" w:rsidP="000742DE">
      <w:pPr>
        <w:pStyle w:val="ListParagraph"/>
        <w:widowControl w:val="0"/>
        <w:numPr>
          <w:ilvl w:val="0"/>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0742DE">
        <w:rPr>
          <w:rFonts w:ascii="Times New Roman" w:hAnsi="Times New Roman" w:cs="Times New Roman"/>
          <w:sz w:val="24"/>
          <w:szCs w:val="24"/>
        </w:rPr>
        <w:t>Maryland began offering subsidies to young adults in 2022. Passed expanded subsidy program in 2025.</w:t>
      </w:r>
      <w:r w:rsidRPr="000742DE">
        <w:t xml:space="preserve"> </w:t>
      </w:r>
    </w:p>
    <w:p w14:paraId="23D63AD6" w14:textId="05E4C7C6" w:rsidR="000742DE" w:rsidRPr="000742DE" w:rsidRDefault="000742DE" w:rsidP="004612DB">
      <w:pPr>
        <w:pStyle w:val="ListParagraph"/>
        <w:widowControl w:val="0"/>
        <w:numPr>
          <w:ilvl w:val="1"/>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0742DE">
        <w:rPr>
          <w:rFonts w:ascii="Times New Roman" w:hAnsi="Times New Roman" w:cs="Times New Roman"/>
          <w:sz w:val="24"/>
          <w:szCs w:val="24"/>
        </w:rPr>
        <w:t xml:space="preserve">Legislature passed legislation in May creating a State-Based Health Insurance Subsidies Program not exclusive to young adults to mitigate an expected expiration of the enhanced premium tax credits, funded through the same mechanism as the pilot program. </w:t>
      </w:r>
    </w:p>
    <w:p w14:paraId="466A809A" w14:textId="6C9BF629" w:rsidR="005E3B86" w:rsidRDefault="000742DE" w:rsidP="004612DB">
      <w:pPr>
        <w:pStyle w:val="ListParagraph"/>
        <w:widowControl w:val="0"/>
        <w:numPr>
          <w:ilvl w:val="1"/>
          <w:numId w:val="11"/>
        </w:numPr>
        <w:tabs>
          <w:tab w:val="left" w:pos="2366"/>
        </w:tabs>
        <w:autoSpaceDE w:val="0"/>
        <w:autoSpaceDN w:val="0"/>
        <w:spacing w:before="100" w:beforeAutospacing="1" w:after="0" w:line="240" w:lineRule="auto"/>
        <w:rPr>
          <w:rFonts w:ascii="Times New Roman" w:hAnsi="Times New Roman" w:cs="Times New Roman"/>
          <w:sz w:val="24"/>
          <w:szCs w:val="24"/>
        </w:rPr>
      </w:pPr>
      <w:r w:rsidRPr="000742DE">
        <w:rPr>
          <w:rFonts w:ascii="Times New Roman" w:hAnsi="Times New Roman" w:cs="Times New Roman"/>
          <w:sz w:val="24"/>
          <w:szCs w:val="24"/>
        </w:rPr>
        <w:t>If the enhanced premium tax credits are extended, the bill will not go into effect.</w:t>
      </w:r>
    </w:p>
    <w:p w14:paraId="6F64A403" w14:textId="1546C911" w:rsidR="004612DB" w:rsidRDefault="0056294B" w:rsidP="004612DB">
      <w:pPr>
        <w:pStyle w:val="ListParagraph"/>
        <w:widowControl w:val="0"/>
        <w:numPr>
          <w:ilvl w:val="0"/>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56294B">
        <w:rPr>
          <w:rFonts w:ascii="Times New Roman" w:hAnsi="Times New Roman" w:cs="Times New Roman"/>
          <w:sz w:val="24"/>
          <w:szCs w:val="24"/>
        </w:rPr>
        <w:t>New Mexico began providing premium and cost-sharing subsidies in 2023.</w:t>
      </w:r>
    </w:p>
    <w:p w14:paraId="6A86E8D5" w14:textId="43144E00" w:rsidR="0056294B" w:rsidRDefault="0056294B" w:rsidP="0056294B">
      <w:pPr>
        <w:pStyle w:val="ListParagraph"/>
        <w:widowControl w:val="0"/>
        <w:numPr>
          <w:ilvl w:val="1"/>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56294B">
        <w:rPr>
          <w:rFonts w:ascii="Times New Roman" w:hAnsi="Times New Roman" w:cs="Times New Roman"/>
          <w:sz w:val="24"/>
          <w:szCs w:val="24"/>
        </w:rPr>
        <w:t>The Office of the Superintendent of Insurance announced in August that even if the enhanced premium tax credits expire, New Mexico's subsidy program will cover the loss for households with incomes under 400% FPL.</w:t>
      </w:r>
    </w:p>
    <w:p w14:paraId="27F11B9D" w14:textId="42B1FCC7" w:rsidR="00495BAA" w:rsidRDefault="00495BAA" w:rsidP="00495BAA">
      <w:pPr>
        <w:pStyle w:val="ListParagraph"/>
        <w:widowControl w:val="0"/>
        <w:numPr>
          <w:ilvl w:val="0"/>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495BAA">
        <w:rPr>
          <w:rFonts w:ascii="Times New Roman" w:hAnsi="Times New Roman" w:cs="Times New Roman"/>
          <w:sz w:val="24"/>
          <w:szCs w:val="24"/>
        </w:rPr>
        <w:t>New York began offering cost-sharing subsidies in 2025.</w:t>
      </w:r>
    </w:p>
    <w:p w14:paraId="4870CE79" w14:textId="77777777" w:rsidR="00D5741D" w:rsidRPr="00D5741D" w:rsidRDefault="00D5741D" w:rsidP="00D5741D">
      <w:pPr>
        <w:pStyle w:val="ListParagraph"/>
        <w:widowControl w:val="0"/>
        <w:numPr>
          <w:ilvl w:val="1"/>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D5741D">
        <w:rPr>
          <w:rFonts w:ascii="Times New Roman" w:hAnsi="Times New Roman" w:cs="Times New Roman"/>
          <w:sz w:val="24"/>
          <w:szCs w:val="24"/>
        </w:rPr>
        <w:t xml:space="preserve">Due to changes in HR 1 that modify premium tax credit eligibility, New York expects to receive substantially less federal funding. </w:t>
      </w:r>
    </w:p>
    <w:p w14:paraId="2AADC49C" w14:textId="77777777" w:rsidR="00D5741D" w:rsidRPr="00D5741D" w:rsidRDefault="00D5741D" w:rsidP="00D5741D">
      <w:pPr>
        <w:pStyle w:val="ListParagraph"/>
        <w:widowControl w:val="0"/>
        <w:numPr>
          <w:ilvl w:val="2"/>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D5741D">
        <w:rPr>
          <w:rFonts w:ascii="Times New Roman" w:hAnsi="Times New Roman" w:cs="Times New Roman"/>
          <w:sz w:val="24"/>
          <w:szCs w:val="24"/>
        </w:rPr>
        <w:t xml:space="preserve">On September 10, the state requested to terminate its waiver as currently approved. </w:t>
      </w:r>
    </w:p>
    <w:p w14:paraId="675C678A" w14:textId="77777777" w:rsidR="00D5741D" w:rsidRPr="00D5741D" w:rsidRDefault="00D5741D" w:rsidP="00D5741D">
      <w:pPr>
        <w:pStyle w:val="ListParagraph"/>
        <w:widowControl w:val="0"/>
        <w:numPr>
          <w:ilvl w:val="2"/>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D5741D">
        <w:rPr>
          <w:rFonts w:ascii="Times New Roman" w:hAnsi="Times New Roman" w:cs="Times New Roman"/>
          <w:sz w:val="24"/>
          <w:szCs w:val="24"/>
        </w:rPr>
        <w:t>It also requested to reactivate its currently suspended Basic Health Program.</w:t>
      </w:r>
    </w:p>
    <w:p w14:paraId="34019448" w14:textId="0B0D5F92" w:rsidR="00D5741D" w:rsidRDefault="000E789A" w:rsidP="00495BAA">
      <w:pPr>
        <w:pStyle w:val="ListParagraph"/>
        <w:widowControl w:val="0"/>
        <w:numPr>
          <w:ilvl w:val="0"/>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0E789A">
        <w:rPr>
          <w:rFonts w:ascii="Times New Roman" w:hAnsi="Times New Roman" w:cs="Times New Roman"/>
          <w:sz w:val="24"/>
          <w:szCs w:val="24"/>
        </w:rPr>
        <w:t>Washington began offering premium and cost-sharing subsides in 2023.</w:t>
      </w:r>
    </w:p>
    <w:p w14:paraId="521E209F" w14:textId="77777777" w:rsidR="00600545" w:rsidRPr="00600545" w:rsidRDefault="00600545" w:rsidP="00600545">
      <w:pPr>
        <w:pStyle w:val="ListParagraph"/>
        <w:widowControl w:val="0"/>
        <w:numPr>
          <w:ilvl w:val="1"/>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600545">
        <w:rPr>
          <w:rFonts w:ascii="Times New Roman" w:hAnsi="Times New Roman" w:cs="Times New Roman"/>
          <w:sz w:val="24"/>
          <w:szCs w:val="24"/>
        </w:rPr>
        <w:t xml:space="preserve">The Washington Health Benefit Exchange has estimated that maintaining the same subsidy levels in 2026 will cost roughly $70 million more than is budgeted. </w:t>
      </w:r>
    </w:p>
    <w:p w14:paraId="7967A9F0" w14:textId="322F546E" w:rsidR="000742DE" w:rsidRPr="00600545" w:rsidRDefault="00600545" w:rsidP="000742DE">
      <w:pPr>
        <w:pStyle w:val="ListParagraph"/>
        <w:widowControl w:val="0"/>
        <w:numPr>
          <w:ilvl w:val="1"/>
          <w:numId w:val="14"/>
        </w:numPr>
        <w:tabs>
          <w:tab w:val="left" w:pos="2366"/>
        </w:tabs>
        <w:autoSpaceDE w:val="0"/>
        <w:autoSpaceDN w:val="0"/>
        <w:spacing w:before="100" w:beforeAutospacing="1" w:after="0" w:line="240" w:lineRule="auto"/>
        <w:rPr>
          <w:rFonts w:ascii="Times New Roman" w:hAnsi="Times New Roman" w:cs="Times New Roman"/>
          <w:sz w:val="24"/>
          <w:szCs w:val="24"/>
        </w:rPr>
      </w:pPr>
      <w:r w:rsidRPr="00600545">
        <w:rPr>
          <w:rFonts w:ascii="Times New Roman" w:hAnsi="Times New Roman" w:cs="Times New Roman"/>
          <w:sz w:val="24"/>
          <w:szCs w:val="24"/>
        </w:rPr>
        <w:t>The state is considering a variety of approaches with the expiration of EPTCs, including lowering subsidies for customers eligible for federal advance premium tax credits.</w:t>
      </w:r>
    </w:p>
    <w:p w14:paraId="1740B193" w14:textId="761F774D" w:rsidR="00FF2096" w:rsidRDefault="00FF2096" w:rsidP="00600545">
      <w:pPr>
        <w:pStyle w:val="NormalWeb"/>
        <w:rPr>
          <w:b/>
          <w:bCs/>
        </w:rPr>
      </w:pPr>
      <w:r w:rsidRPr="00732C54">
        <w:rPr>
          <w:b/>
          <w:bCs/>
        </w:rPr>
        <w:t>V. Discussion</w:t>
      </w:r>
    </w:p>
    <w:p w14:paraId="5792C70C" w14:textId="77777777" w:rsidR="00346890" w:rsidRDefault="00346890" w:rsidP="00346890">
      <w:pPr>
        <w:pStyle w:val="NormalWeb"/>
        <w:numPr>
          <w:ilvl w:val="0"/>
          <w:numId w:val="15"/>
        </w:numPr>
      </w:pPr>
      <w:r>
        <w:t>S</w:t>
      </w:r>
      <w:r>
        <w:t>ocial media is being flooded with STLDI plans, no clear understanding of those plans vs. ACA compliant plan</w:t>
      </w:r>
      <w:r>
        <w:t>a</w:t>
      </w:r>
      <w:r>
        <w:t xml:space="preserve"> – consumers reaching out</w:t>
      </w:r>
      <w:r>
        <w:t xml:space="preserve"> </w:t>
      </w:r>
      <w:r>
        <w:t xml:space="preserve">on this.  </w:t>
      </w:r>
    </w:p>
    <w:p w14:paraId="6E04DDEE" w14:textId="032C5A59" w:rsidR="00346890" w:rsidRDefault="00346890" w:rsidP="00346890">
      <w:pPr>
        <w:pStyle w:val="NormalWeb"/>
        <w:numPr>
          <w:ilvl w:val="0"/>
          <w:numId w:val="15"/>
        </w:numPr>
      </w:pPr>
      <w:r>
        <w:t>Make recommendation – public is getting a sense of where rates are going and seeking alternatives via social media, need to inform public of difference between STLDI plans and ACA 10 EHB plans.</w:t>
      </w:r>
    </w:p>
    <w:p w14:paraId="3464F801" w14:textId="77777777" w:rsidR="00346890" w:rsidRDefault="00346890" w:rsidP="00346890">
      <w:pPr>
        <w:pStyle w:val="NormalWeb"/>
        <w:numPr>
          <w:ilvl w:val="0"/>
          <w:numId w:val="15"/>
        </w:numPr>
      </w:pPr>
    </w:p>
    <w:p w14:paraId="12BF197B" w14:textId="77777777" w:rsidR="00346890" w:rsidRDefault="00346890" w:rsidP="00346890">
      <w:pPr>
        <w:pStyle w:val="NormalWeb"/>
        <w:numPr>
          <w:ilvl w:val="0"/>
          <w:numId w:val="15"/>
        </w:numPr>
      </w:pPr>
    </w:p>
    <w:p w14:paraId="0C8146C1" w14:textId="154273C1" w:rsidR="00346890" w:rsidRDefault="00346890" w:rsidP="00346890">
      <w:pPr>
        <w:pStyle w:val="NormalWeb"/>
        <w:numPr>
          <w:ilvl w:val="0"/>
          <w:numId w:val="15"/>
        </w:numPr>
      </w:pPr>
      <w:r>
        <w:t>HBE plan</w:t>
      </w:r>
      <w:r w:rsidR="006732BE">
        <w:t>s</w:t>
      </w:r>
      <w:r>
        <w:t xml:space="preserve"> for late extension of </w:t>
      </w:r>
      <w:proofErr w:type="spellStart"/>
      <w:r>
        <w:t>eptcs</w:t>
      </w:r>
      <w:proofErr w:type="spellEnd"/>
      <w:r>
        <w:t xml:space="preserve">; is there enough time to inform the consumer; </w:t>
      </w:r>
      <w:r w:rsidR="006732BE">
        <w:t>concerns raised a</w:t>
      </w:r>
      <w:r>
        <w:t>bout the January 1 binder payment</w:t>
      </w:r>
    </w:p>
    <w:p w14:paraId="56842364" w14:textId="059749D2" w:rsidR="00346890" w:rsidRDefault="00346890" w:rsidP="00346890">
      <w:pPr>
        <w:pStyle w:val="NormalWeb"/>
        <w:numPr>
          <w:ilvl w:val="0"/>
          <w:numId w:val="15"/>
        </w:numPr>
      </w:pPr>
      <w:r>
        <w:t xml:space="preserve">Can we extend the Open Enrollment if </w:t>
      </w:r>
      <w:proofErr w:type="spellStart"/>
      <w:r>
        <w:t>ePTCs</w:t>
      </w:r>
      <w:proofErr w:type="spellEnd"/>
      <w:r>
        <w:t xml:space="preserve"> are extended late in the CY. Can you delay OE altogether?  </w:t>
      </w:r>
      <w:r w:rsidR="00F655FA">
        <w:t xml:space="preserve">HBE cannot delay OE but </w:t>
      </w:r>
      <w:r>
        <w:t>we can extend OE</w:t>
      </w:r>
      <w:r w:rsidR="00F655FA">
        <w:t xml:space="preserve"> in PY26, already extended to 1/30.</w:t>
      </w:r>
    </w:p>
    <w:p w14:paraId="264EA5E5" w14:textId="73ED088D" w:rsidR="00346890" w:rsidRDefault="00346890" w:rsidP="00346890">
      <w:pPr>
        <w:pStyle w:val="NormalWeb"/>
        <w:numPr>
          <w:ilvl w:val="0"/>
          <w:numId w:val="15"/>
        </w:numPr>
      </w:pPr>
      <w:r>
        <w:t xml:space="preserve">Admin appeal on De Minimis </w:t>
      </w:r>
      <w:r w:rsidR="00F655FA">
        <w:t xml:space="preserve">provisions were </w:t>
      </w:r>
      <w:r>
        <w:t>denied</w:t>
      </w:r>
      <w:r w:rsidR="00F655FA">
        <w:t xml:space="preserve"> 9/18.</w:t>
      </w:r>
    </w:p>
    <w:p w14:paraId="323F119E" w14:textId="06E9771B" w:rsidR="00346890" w:rsidRDefault="00F655FA" w:rsidP="00346890">
      <w:pPr>
        <w:pStyle w:val="NormalWeb"/>
        <w:numPr>
          <w:ilvl w:val="0"/>
          <w:numId w:val="15"/>
        </w:numPr>
      </w:pPr>
      <w:r>
        <w:t>C</w:t>
      </w:r>
      <w:r w:rsidR="00346890">
        <w:t xml:space="preserve">hange in subsidy amount could be considered a QLE; something for </w:t>
      </w:r>
      <w:r>
        <w:t>HBE</w:t>
      </w:r>
      <w:r w:rsidR="00346890">
        <w:t xml:space="preserve"> consideration</w:t>
      </w:r>
    </w:p>
    <w:p w14:paraId="35CC78F1" w14:textId="400518A0" w:rsidR="00346890" w:rsidRDefault="00F655FA" w:rsidP="00F101AA">
      <w:pPr>
        <w:pStyle w:val="NormalWeb"/>
        <w:numPr>
          <w:ilvl w:val="0"/>
          <w:numId w:val="15"/>
        </w:numPr>
      </w:pPr>
      <w:r>
        <w:t>M</w:t>
      </w:r>
      <w:r w:rsidR="00346890">
        <w:t>isconception of when immigration provisions go into effect; soft drop off of enrollment might happen as a result; also address provided to the government might lead to soft drop off of enrollment.</w:t>
      </w:r>
    </w:p>
    <w:p w14:paraId="7D410DC0" w14:textId="3C10A3CF" w:rsidR="00346890" w:rsidRDefault="00346890" w:rsidP="00C03F85">
      <w:pPr>
        <w:pStyle w:val="NormalWeb"/>
        <w:numPr>
          <w:ilvl w:val="0"/>
          <w:numId w:val="15"/>
        </w:numPr>
      </w:pPr>
      <w:r>
        <w:t>Anything G</w:t>
      </w:r>
      <w:r w:rsidR="00F101AA">
        <w:t xml:space="preserve">eneral </w:t>
      </w:r>
      <w:r>
        <w:t>A</w:t>
      </w:r>
      <w:r w:rsidR="00F101AA">
        <w:t>ssembly</w:t>
      </w:r>
      <w:r>
        <w:t xml:space="preserve"> can to </w:t>
      </w:r>
      <w:r w:rsidR="00F101AA">
        <w:t xml:space="preserve">do </w:t>
      </w:r>
      <w:r>
        <w:t xml:space="preserve">re: 100k losing coverage?  HBE has been meeting w/ GA on </w:t>
      </w:r>
      <w:r w:rsidR="005B27E5">
        <w:t>this.</w:t>
      </w:r>
      <w:r>
        <w:t xml:space="preserve"> </w:t>
      </w:r>
    </w:p>
    <w:p w14:paraId="43B96E05" w14:textId="77777777" w:rsidR="00346890" w:rsidRDefault="00346890" w:rsidP="00346890">
      <w:pPr>
        <w:pStyle w:val="NormalWeb"/>
        <w:numPr>
          <w:ilvl w:val="0"/>
          <w:numId w:val="15"/>
        </w:numPr>
      </w:pPr>
      <w:r>
        <w:t xml:space="preserve">Updating BY26 estimates on 10/6 at HIRC meeting; most impactful federal changes are &lt;150% </w:t>
      </w:r>
      <w:proofErr w:type="spellStart"/>
      <w:r>
        <w:t>fpl</w:t>
      </w:r>
      <w:proofErr w:type="spellEnd"/>
      <w:r>
        <w:t>, changes to premium adjustment Percentage index calculation methodology - % of income – effect expected out of pocket for impact of program; immigrants w/ incomes under 100% FPL</w:t>
      </w:r>
    </w:p>
    <w:p w14:paraId="1718C309" w14:textId="2F56AE03" w:rsidR="00346890" w:rsidRDefault="004A04A2" w:rsidP="00346890">
      <w:pPr>
        <w:pStyle w:val="NormalWeb"/>
        <w:numPr>
          <w:ilvl w:val="0"/>
          <w:numId w:val="15"/>
        </w:numPr>
      </w:pPr>
      <w:r>
        <w:t>O</w:t>
      </w:r>
      <w:r w:rsidR="00346890">
        <w:t xml:space="preserve">ther states applying for </w:t>
      </w:r>
      <w:r>
        <w:t xml:space="preserve">reinsurance waiver </w:t>
      </w:r>
      <w:r w:rsidR="00346890">
        <w:t xml:space="preserve">extension so we can see where Administration might go? PA has one going in now; in the process of review; GA as well – CMS has given BOI indications that they are looking to expand choice and use of 1332 waiver program to give states more authority to do broader; PA was approved – 2 years prior to </w:t>
      </w:r>
      <w:r>
        <w:t>VA</w:t>
      </w:r>
      <w:r w:rsidR="00346890">
        <w:t>; approved in April 2025; interstate compacts w/ states taking more responsibility for these groups as well; not adverse to reinsurance programs; not sure if changes re: modeling or using</w:t>
      </w:r>
    </w:p>
    <w:p w14:paraId="2BFEF26F" w14:textId="77777777" w:rsidR="00346890" w:rsidRDefault="00346890" w:rsidP="00346890">
      <w:pPr>
        <w:pStyle w:val="NormalWeb"/>
        <w:numPr>
          <w:ilvl w:val="0"/>
          <w:numId w:val="15"/>
        </w:numPr>
      </w:pPr>
      <w:r>
        <w:t>Raw number of people who hit the cap each year and by percentage – because will change each year – Brad below 1.5% of enrollment to pierce the attachment point. 10k for 2024 program out of all enrollees hit the attachment point, could be why we see surplus – not as many people hitting the cap; but percent of entire group piercing the attachment point will increase.</w:t>
      </w:r>
    </w:p>
    <w:p w14:paraId="64D4D79D" w14:textId="0DD05DAB" w:rsidR="00745A86" w:rsidRDefault="00745A86" w:rsidP="00346890">
      <w:pPr>
        <w:pStyle w:val="NormalWeb"/>
        <w:numPr>
          <w:ilvl w:val="0"/>
          <w:numId w:val="15"/>
        </w:numPr>
      </w:pPr>
      <w:r>
        <w:t>Advisory Committee has</w:t>
      </w:r>
      <w:r w:rsidR="00346890">
        <w:t xml:space="preserve"> capability to have a subcommittee on premium </w:t>
      </w:r>
      <w:r w:rsidR="005B27E5">
        <w:t>costs.</w:t>
      </w:r>
      <w:r w:rsidR="00346890">
        <w:t xml:space="preserve"> </w:t>
      </w:r>
    </w:p>
    <w:p w14:paraId="23837369" w14:textId="23AC6095" w:rsidR="00346890" w:rsidRDefault="00745A86" w:rsidP="00346890">
      <w:pPr>
        <w:pStyle w:val="NormalWeb"/>
        <w:numPr>
          <w:ilvl w:val="0"/>
          <w:numId w:val="15"/>
        </w:numPr>
      </w:pPr>
      <w:r>
        <w:t>M</w:t>
      </w:r>
      <w:r w:rsidR="00346890">
        <w:t xml:space="preserve">otion to create one; formulate committee for next meeting.  Absent a special session little we can do for next GA session.  Motion passed, no nays.  </w:t>
      </w:r>
    </w:p>
    <w:p w14:paraId="71C4AFE6" w14:textId="625C62FE" w:rsidR="00732C54" w:rsidRPr="00745A86" w:rsidRDefault="00745A86" w:rsidP="00745A86">
      <w:pPr>
        <w:pStyle w:val="NormalWeb"/>
        <w:numPr>
          <w:ilvl w:val="0"/>
          <w:numId w:val="15"/>
        </w:numPr>
      </w:pPr>
      <w:r>
        <w:t>Need to f</w:t>
      </w:r>
      <w:r w:rsidR="00346890">
        <w:t xml:space="preserve">ocus on low income </w:t>
      </w:r>
      <w:r>
        <w:t xml:space="preserve">populations; </w:t>
      </w:r>
      <w:r w:rsidR="00346890">
        <w:t>risk pool balance</w:t>
      </w:r>
      <w:r>
        <w:t xml:space="preserve"> is important.</w:t>
      </w:r>
    </w:p>
    <w:p w14:paraId="1909A779" w14:textId="41DC0B66" w:rsidR="000642E4" w:rsidRPr="001B079A" w:rsidRDefault="000642E4" w:rsidP="001B079A">
      <w:pPr>
        <w:widowControl w:val="0"/>
        <w:tabs>
          <w:tab w:val="left" w:pos="2366"/>
        </w:tabs>
        <w:autoSpaceDE w:val="0"/>
        <w:autoSpaceDN w:val="0"/>
        <w:spacing w:before="100" w:beforeAutospacing="1" w:after="0" w:line="480" w:lineRule="auto"/>
        <w:rPr>
          <w:rFonts w:ascii="Times New Roman" w:hAnsi="Times New Roman" w:cs="Times New Roman"/>
          <w:sz w:val="24"/>
          <w:szCs w:val="24"/>
        </w:rPr>
      </w:pPr>
      <w:r>
        <w:rPr>
          <w:rFonts w:ascii="Times New Roman" w:hAnsi="Times New Roman" w:cs="Times New Roman"/>
          <w:b/>
          <w:bCs/>
          <w:sz w:val="24"/>
          <w:szCs w:val="24"/>
        </w:rPr>
        <w:t xml:space="preserve">VI. </w:t>
      </w:r>
      <w:r w:rsidR="00D10826" w:rsidRPr="000642E4">
        <w:rPr>
          <w:rFonts w:ascii="Times New Roman" w:hAnsi="Times New Roman" w:cs="Times New Roman"/>
          <w:b/>
          <w:bCs/>
          <w:sz w:val="24"/>
          <w:szCs w:val="24"/>
        </w:rPr>
        <w:t xml:space="preserve">Other Business </w:t>
      </w:r>
    </w:p>
    <w:p w14:paraId="1D656C3F" w14:textId="0923E659" w:rsidR="00732C54" w:rsidRPr="00732C54" w:rsidRDefault="000642E4" w:rsidP="000642E4">
      <w:pPr>
        <w:pStyle w:val="ListParagraph"/>
        <w:widowControl w:val="0"/>
        <w:tabs>
          <w:tab w:val="left" w:pos="2366"/>
        </w:tabs>
        <w:autoSpaceDE w:val="0"/>
        <w:autoSpaceDN w:val="0"/>
        <w:spacing w:before="12" w:after="0" w:line="480" w:lineRule="auto"/>
        <w:ind w:left="514"/>
        <w:contextualSpacing w:val="0"/>
        <w:rPr>
          <w:rFonts w:ascii="Times New Roman" w:hAnsi="Times New Roman" w:cs="Times New Roman"/>
          <w:sz w:val="24"/>
          <w:szCs w:val="24"/>
        </w:rPr>
      </w:pPr>
      <w:r w:rsidRPr="000642E4">
        <w:rPr>
          <w:rFonts w:ascii="Times New Roman" w:hAnsi="Times New Roman" w:cs="Times New Roman"/>
          <w:sz w:val="24"/>
          <w:szCs w:val="24"/>
        </w:rPr>
        <w:t xml:space="preserve">No business for the committee. </w:t>
      </w:r>
    </w:p>
    <w:p w14:paraId="71AF4252" w14:textId="21303309" w:rsidR="00D10826" w:rsidRPr="000642E4" w:rsidRDefault="000642E4" w:rsidP="000642E4">
      <w:pPr>
        <w:widowControl w:val="0"/>
        <w:tabs>
          <w:tab w:val="left" w:pos="2366"/>
        </w:tabs>
        <w:autoSpaceDE w:val="0"/>
        <w:autoSpaceDN w:val="0"/>
        <w:spacing w:before="12" w:after="0" w:line="480" w:lineRule="auto"/>
        <w:rPr>
          <w:rFonts w:ascii="Times New Roman" w:hAnsi="Times New Roman" w:cs="Times New Roman"/>
          <w:sz w:val="24"/>
          <w:szCs w:val="24"/>
        </w:rPr>
      </w:pPr>
      <w:r>
        <w:rPr>
          <w:rFonts w:ascii="Times New Roman" w:hAnsi="Times New Roman" w:cs="Times New Roman"/>
          <w:b/>
          <w:bCs/>
          <w:sz w:val="24"/>
          <w:szCs w:val="24"/>
        </w:rPr>
        <w:t xml:space="preserve">VII. </w:t>
      </w:r>
      <w:r w:rsidR="00D10826" w:rsidRPr="000642E4">
        <w:rPr>
          <w:rFonts w:ascii="Times New Roman" w:hAnsi="Times New Roman" w:cs="Times New Roman"/>
          <w:b/>
          <w:bCs/>
          <w:sz w:val="24"/>
          <w:szCs w:val="24"/>
        </w:rPr>
        <w:t xml:space="preserve">Public Comment </w:t>
      </w:r>
    </w:p>
    <w:p w14:paraId="488D7919" w14:textId="31DF78B5" w:rsidR="00D10826" w:rsidRPr="00D10826" w:rsidRDefault="00732C54" w:rsidP="00732C54">
      <w:pPr>
        <w:pStyle w:val="ListParagraph"/>
        <w:widowControl w:val="0"/>
        <w:tabs>
          <w:tab w:val="left" w:pos="2366"/>
        </w:tabs>
        <w:autoSpaceDE w:val="0"/>
        <w:autoSpaceDN w:val="0"/>
        <w:spacing w:before="12" w:after="0" w:line="480" w:lineRule="auto"/>
        <w:ind w:left="514"/>
        <w:contextualSpacing w:val="0"/>
        <w:rPr>
          <w:rFonts w:ascii="Times New Roman" w:hAnsi="Times New Roman" w:cs="Times New Roman"/>
          <w:sz w:val="24"/>
          <w:szCs w:val="24"/>
        </w:rPr>
      </w:pPr>
      <w:r>
        <w:rPr>
          <w:rFonts w:ascii="Times New Roman" w:hAnsi="Times New Roman" w:cs="Times New Roman"/>
          <w:sz w:val="24"/>
          <w:szCs w:val="24"/>
        </w:rPr>
        <w:t xml:space="preserve">No public comment. </w:t>
      </w:r>
    </w:p>
    <w:p w14:paraId="63C8C670" w14:textId="19C39676" w:rsidR="00D10826" w:rsidRPr="000642E4" w:rsidRDefault="000642E4" w:rsidP="000642E4">
      <w:pPr>
        <w:widowControl w:val="0"/>
        <w:tabs>
          <w:tab w:val="left" w:pos="2366"/>
        </w:tabs>
        <w:autoSpaceDE w:val="0"/>
        <w:autoSpaceDN w:val="0"/>
        <w:spacing w:before="12" w:after="0" w:line="480" w:lineRule="auto"/>
        <w:rPr>
          <w:rFonts w:ascii="Times New Roman" w:hAnsi="Times New Roman" w:cs="Times New Roman"/>
          <w:sz w:val="24"/>
          <w:szCs w:val="24"/>
        </w:rPr>
      </w:pPr>
      <w:r>
        <w:rPr>
          <w:rFonts w:ascii="Times New Roman" w:hAnsi="Times New Roman" w:cs="Times New Roman"/>
          <w:b/>
          <w:bCs/>
          <w:sz w:val="24"/>
          <w:szCs w:val="24"/>
        </w:rPr>
        <w:t xml:space="preserve">VIII. </w:t>
      </w:r>
      <w:r w:rsidR="00D10826" w:rsidRPr="000642E4">
        <w:rPr>
          <w:rFonts w:ascii="Times New Roman" w:hAnsi="Times New Roman" w:cs="Times New Roman"/>
          <w:b/>
          <w:bCs/>
          <w:sz w:val="24"/>
          <w:szCs w:val="24"/>
        </w:rPr>
        <w:t xml:space="preserve">Adjournment </w:t>
      </w:r>
    </w:p>
    <w:p w14:paraId="4509CC69" w14:textId="430019BE" w:rsidR="00D10826" w:rsidRPr="002E0CAF" w:rsidRDefault="00732C54" w:rsidP="002E0CAF">
      <w:pPr>
        <w:pStyle w:val="ListParagraph"/>
        <w:widowControl w:val="0"/>
        <w:tabs>
          <w:tab w:val="left" w:pos="736"/>
          <w:tab w:val="left" w:pos="2366"/>
        </w:tabs>
        <w:autoSpaceDE w:val="0"/>
        <w:autoSpaceDN w:val="0"/>
        <w:spacing w:before="12" w:after="0" w:line="480" w:lineRule="auto"/>
        <w:ind w:left="514"/>
        <w:contextualSpacing w:val="0"/>
        <w:rPr>
          <w:rFonts w:ascii="Times New Roman" w:hAnsi="Times New Roman" w:cs="Times New Roman"/>
          <w:sz w:val="24"/>
          <w:szCs w:val="24"/>
        </w:rPr>
      </w:pPr>
      <w:r>
        <w:rPr>
          <w:rFonts w:ascii="Times New Roman" w:hAnsi="Times New Roman" w:cs="Times New Roman"/>
          <w:sz w:val="24"/>
          <w:szCs w:val="24"/>
        </w:rPr>
        <w:t xml:space="preserve">Meeting adjourned at </w:t>
      </w:r>
      <w:r w:rsidR="00150981">
        <w:rPr>
          <w:rFonts w:ascii="Times New Roman" w:hAnsi="Times New Roman" w:cs="Times New Roman"/>
          <w:sz w:val="24"/>
          <w:szCs w:val="24"/>
        </w:rPr>
        <w:t xml:space="preserve">2:58 </w:t>
      </w:r>
      <w:r>
        <w:rPr>
          <w:rFonts w:ascii="Times New Roman" w:hAnsi="Times New Roman" w:cs="Times New Roman"/>
          <w:sz w:val="24"/>
          <w:szCs w:val="24"/>
        </w:rPr>
        <w:t xml:space="preserve">pm. </w:t>
      </w:r>
    </w:p>
    <w:sectPr w:rsidR="00D10826" w:rsidRPr="002E0CAF" w:rsidSect="00D10826">
      <w:headerReference w:type="default" r:id="rId7"/>
      <w:footerReference w:type="even" r:id="rId8"/>
      <w:footerReference w:type="default" r:id="rId9"/>
      <w:footerReference w:type="first" r:id="rId10"/>
      <w:pgSz w:w="12240" w:h="15840"/>
      <w:pgMar w:top="1440" w:right="1440"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3D47" w14:textId="77777777" w:rsidR="00B03B11" w:rsidRDefault="00B03B11" w:rsidP="00D10826">
      <w:pPr>
        <w:spacing w:after="0" w:line="240" w:lineRule="auto"/>
      </w:pPr>
      <w:r>
        <w:separator/>
      </w:r>
    </w:p>
  </w:endnote>
  <w:endnote w:type="continuationSeparator" w:id="0">
    <w:p w14:paraId="67E3E70A" w14:textId="77777777" w:rsidR="00B03B11" w:rsidRDefault="00B03B11" w:rsidP="00D1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7D79" w14:textId="2D7BAE7F" w:rsidR="00D10826" w:rsidRDefault="00D10826">
    <w:pPr>
      <w:pStyle w:val="Footer"/>
    </w:pPr>
    <w:r>
      <w:rPr>
        <w:noProof/>
      </w:rPr>
      <mc:AlternateContent>
        <mc:Choice Requires="wps">
          <w:drawing>
            <wp:anchor distT="0" distB="0" distL="0" distR="0" simplePos="0" relativeHeight="251664384" behindDoc="0" locked="0" layoutInCell="1" allowOverlap="1" wp14:anchorId="7CE1FF79" wp14:editId="114BF737">
              <wp:simplePos x="635" y="635"/>
              <wp:positionH relativeFrom="page">
                <wp:align>center</wp:align>
              </wp:positionH>
              <wp:positionV relativeFrom="page">
                <wp:align>bottom</wp:align>
              </wp:positionV>
              <wp:extent cx="624205" cy="357505"/>
              <wp:effectExtent l="0" t="0" r="4445" b="0"/>
              <wp:wrapNone/>
              <wp:docPr id="57963715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38A1AFFE" w14:textId="2DE9710D" w:rsidR="00D10826" w:rsidRPr="00D10826" w:rsidRDefault="00D10826" w:rsidP="00D10826">
                          <w:pPr>
                            <w:spacing w:after="0"/>
                            <w:rPr>
                              <w:rFonts w:ascii="Calibri" w:eastAsia="Calibri" w:hAnsi="Calibri" w:cs="Calibri"/>
                              <w:noProof/>
                              <w:color w:val="000000"/>
                              <w:sz w:val="20"/>
                              <w:szCs w:val="20"/>
                            </w:rPr>
                          </w:pPr>
                          <w:r w:rsidRPr="00D10826">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1FF79" id="_x0000_t202" coordsize="21600,21600" o:spt="202" path="m,l,21600r21600,l21600,xe">
              <v:stroke joinstyle="miter"/>
              <v:path gradientshapeok="t" o:connecttype="rect"/>
            </v:shapetype>
            <v:shape id="Text Box 2" o:spid="_x0000_s1026" type="#_x0000_t202" alt="Confidential" style="position:absolute;margin-left:0;margin-top:0;width:49.1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" filled="f" stroked="f">
              <v:textbox style="mso-fit-shape-to-text:t" inset="0,0,0,15pt">
                <w:txbxContent>
                  <w:p w14:paraId="38A1AFFE" w14:textId="2DE9710D" w:rsidR="00D10826" w:rsidRPr="00D10826" w:rsidRDefault="00D10826" w:rsidP="00D10826">
                    <w:pPr>
                      <w:spacing w:after="0"/>
                      <w:rPr>
                        <w:rFonts w:ascii="Calibri" w:eastAsia="Calibri" w:hAnsi="Calibri" w:cs="Calibri"/>
                        <w:noProof/>
                        <w:color w:val="000000"/>
                        <w:sz w:val="20"/>
                        <w:szCs w:val="20"/>
                      </w:rPr>
                    </w:pPr>
                    <w:r w:rsidRPr="00D10826">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16969"/>
      <w:docPartObj>
        <w:docPartGallery w:val="Page Numbers (Bottom of Page)"/>
        <w:docPartUnique/>
      </w:docPartObj>
    </w:sdtPr>
    <w:sdtEndPr>
      <w:rPr>
        <w:noProof/>
      </w:rPr>
    </w:sdtEndPr>
    <w:sdtContent>
      <w:p w14:paraId="1D672F7B" w14:textId="30BBAA64" w:rsidR="008B041F" w:rsidRDefault="008B04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F1F87" w14:textId="727F6C35" w:rsidR="00D10826" w:rsidRDefault="00D10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DBC9" w14:textId="2BCFFE7A" w:rsidR="00D10826" w:rsidRDefault="00D10826">
    <w:pPr>
      <w:pStyle w:val="Footer"/>
    </w:pPr>
    <w:r>
      <w:rPr>
        <w:noProof/>
      </w:rPr>
      <mc:AlternateContent>
        <mc:Choice Requires="wps">
          <w:drawing>
            <wp:anchor distT="0" distB="0" distL="0" distR="0" simplePos="0" relativeHeight="251663360" behindDoc="0" locked="0" layoutInCell="1" allowOverlap="1" wp14:anchorId="65624B29" wp14:editId="21406CB7">
              <wp:simplePos x="635" y="635"/>
              <wp:positionH relativeFrom="page">
                <wp:align>center</wp:align>
              </wp:positionH>
              <wp:positionV relativeFrom="page">
                <wp:align>bottom</wp:align>
              </wp:positionV>
              <wp:extent cx="624205" cy="357505"/>
              <wp:effectExtent l="0" t="0" r="4445" b="0"/>
              <wp:wrapNone/>
              <wp:docPr id="1283069753"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66238660" w14:textId="7BE70DED" w:rsidR="00D10826" w:rsidRPr="00D10826" w:rsidRDefault="00D10826" w:rsidP="00D10826">
                          <w:pPr>
                            <w:spacing w:after="0"/>
                            <w:rPr>
                              <w:rFonts w:ascii="Calibri" w:eastAsia="Calibri" w:hAnsi="Calibri" w:cs="Calibri"/>
                              <w:noProof/>
                              <w:color w:val="000000"/>
                              <w:sz w:val="20"/>
                              <w:szCs w:val="20"/>
                            </w:rPr>
                          </w:pPr>
                          <w:r w:rsidRPr="00D10826">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24B29" id="_x0000_t202" coordsize="21600,21600" o:spt="202" path="m,l,21600r21600,l21600,xe">
              <v:stroke joinstyle="miter"/>
              <v:path gradientshapeok="t" o:connecttype="rect"/>
            </v:shapetype>
            <v:shape id="Text Box 1" o:spid="_x0000_s1027" type="#_x0000_t202" alt="Confidential" style="position:absolute;margin-left:0;margin-top:0;width:49.1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" filled="f" stroked="f">
              <v:textbox style="mso-fit-shape-to-text:t" inset="0,0,0,15pt">
                <w:txbxContent>
                  <w:p w14:paraId="66238660" w14:textId="7BE70DED" w:rsidR="00D10826" w:rsidRPr="00D10826" w:rsidRDefault="00D10826" w:rsidP="00D10826">
                    <w:pPr>
                      <w:spacing w:after="0"/>
                      <w:rPr>
                        <w:rFonts w:ascii="Calibri" w:eastAsia="Calibri" w:hAnsi="Calibri" w:cs="Calibri"/>
                        <w:noProof/>
                        <w:color w:val="000000"/>
                        <w:sz w:val="20"/>
                        <w:szCs w:val="20"/>
                      </w:rPr>
                    </w:pPr>
                    <w:r w:rsidRPr="00D10826">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671A" w14:textId="77777777" w:rsidR="00B03B11" w:rsidRDefault="00B03B11" w:rsidP="00D10826">
      <w:pPr>
        <w:spacing w:after="0" w:line="240" w:lineRule="auto"/>
      </w:pPr>
      <w:r>
        <w:separator/>
      </w:r>
    </w:p>
  </w:footnote>
  <w:footnote w:type="continuationSeparator" w:id="0">
    <w:p w14:paraId="7F475617" w14:textId="77777777" w:rsidR="00B03B11" w:rsidRDefault="00B03B11" w:rsidP="00D10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F514" w14:textId="77777777" w:rsidR="00D10826" w:rsidRDefault="00D10826" w:rsidP="00DC4E50">
    <w:pPr>
      <w:pStyle w:val="Header"/>
      <w:jc w:val="center"/>
      <w:rPr>
        <w:noProof/>
      </w:rPr>
    </w:pPr>
    <w:r>
      <w:rPr>
        <w:noProof/>
      </w:rPr>
      <w:drawing>
        <wp:anchor distT="0" distB="0" distL="114300" distR="114300" simplePos="0" relativeHeight="251662336" behindDoc="1" locked="0" layoutInCell="1" allowOverlap="1" wp14:anchorId="2FAFC62B" wp14:editId="0552235C">
          <wp:simplePos x="0" y="0"/>
          <wp:positionH relativeFrom="margin">
            <wp:posOffset>-851535</wp:posOffset>
          </wp:positionH>
          <wp:positionV relativeFrom="margin">
            <wp:posOffset>-937260</wp:posOffset>
          </wp:positionV>
          <wp:extent cx="7769224" cy="1238250"/>
          <wp:effectExtent l="0" t="0" r="381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48844467"/>
                  <pic:cNvPicPr>
                    <a:picLocks/>
                  </pic:cNvPicPr>
                </pic:nvPicPr>
                <pic:blipFill rotWithShape="1">
                  <a:blip r:embed="rId1">
                    <a:extLst>
                      <a:ext uri="{28A0092B-C50C-407E-A947-70E740481C1C}">
                        <a14:useLocalDpi xmlns:a14="http://schemas.microsoft.com/office/drawing/2010/main" val="0"/>
                      </a:ext>
                    </a:extLst>
                  </a:blip>
                  <a:srcRect t="6063" b="81622"/>
                  <a:stretch/>
                </pic:blipFill>
                <pic:spPr bwMode="auto">
                  <a:xfrm>
                    <a:off x="0" y="0"/>
                    <a:ext cx="7769224"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34D9E0" w14:textId="77777777" w:rsidR="00D10826" w:rsidRDefault="00D10826" w:rsidP="00DC4E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022"/>
    <w:multiLevelType w:val="hybridMultilevel"/>
    <w:tmpl w:val="2F08A894"/>
    <w:lvl w:ilvl="0" w:tplc="D6FE81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6333"/>
    <w:multiLevelType w:val="hybridMultilevel"/>
    <w:tmpl w:val="DC4E3E76"/>
    <w:lvl w:ilvl="0" w:tplc="D6FE81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D7F87"/>
    <w:multiLevelType w:val="hybridMultilevel"/>
    <w:tmpl w:val="FC82B5A4"/>
    <w:lvl w:ilvl="0" w:tplc="CA080CFE">
      <w:start w:val="13"/>
      <w:numFmt w:val="upperRoman"/>
      <w:lvlText w:val="%1."/>
      <w:lvlJc w:val="left"/>
      <w:pPr>
        <w:ind w:left="720" w:hanging="72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82992"/>
    <w:multiLevelType w:val="hybridMultilevel"/>
    <w:tmpl w:val="DF1E062A"/>
    <w:lvl w:ilvl="0" w:tplc="E7CABD92">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C73466"/>
    <w:multiLevelType w:val="hybridMultilevel"/>
    <w:tmpl w:val="E3640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A6384"/>
    <w:multiLevelType w:val="hybridMultilevel"/>
    <w:tmpl w:val="9754D68C"/>
    <w:lvl w:ilvl="0" w:tplc="D6FE81F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C7F25"/>
    <w:multiLevelType w:val="hybridMultilevel"/>
    <w:tmpl w:val="E1B0A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240A56"/>
    <w:multiLevelType w:val="hybridMultilevel"/>
    <w:tmpl w:val="80A00CCE"/>
    <w:lvl w:ilvl="0" w:tplc="6AD61E52">
      <w:start w:val="2025"/>
      <w:numFmt w:val="bullet"/>
      <w:lvlText w:val="-"/>
      <w:lvlJc w:val="left"/>
      <w:pPr>
        <w:ind w:left="630" w:hanging="360"/>
      </w:pPr>
      <w:rPr>
        <w:rFonts w:ascii="Open Sans" w:eastAsia="Times New Roman" w:hAnsi="Open Sans" w:cs="Open San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38AA0841"/>
    <w:multiLevelType w:val="multilevel"/>
    <w:tmpl w:val="BC42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02333"/>
    <w:multiLevelType w:val="hybridMultilevel"/>
    <w:tmpl w:val="3318872A"/>
    <w:lvl w:ilvl="0" w:tplc="D6FE81F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474A0"/>
    <w:multiLevelType w:val="hybridMultilevel"/>
    <w:tmpl w:val="77DE0EE4"/>
    <w:lvl w:ilvl="0" w:tplc="A318790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142B7"/>
    <w:multiLevelType w:val="hybridMultilevel"/>
    <w:tmpl w:val="63400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BC1255"/>
    <w:multiLevelType w:val="hybridMultilevel"/>
    <w:tmpl w:val="AE800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8820DD"/>
    <w:multiLevelType w:val="hybridMultilevel"/>
    <w:tmpl w:val="040CC3B0"/>
    <w:lvl w:ilvl="0" w:tplc="415A98CC">
      <w:start w:val="1"/>
      <w:numFmt w:val="upperRoman"/>
      <w:lvlText w:val="%1."/>
      <w:lvlJc w:val="left"/>
      <w:pPr>
        <w:ind w:left="514"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C5F28E62">
      <w:start w:val="3"/>
      <w:numFmt w:val="bullet"/>
      <w:lvlText w:val="–"/>
      <w:lvlJc w:val="left"/>
      <w:pPr>
        <w:ind w:left="2880" w:hanging="360"/>
      </w:pPr>
      <w:rPr>
        <w:rFonts w:ascii="Open Sans" w:eastAsiaTheme="minorHAnsi" w:hAnsi="Open Sans" w:cs="Open San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D3A7E"/>
    <w:multiLevelType w:val="hybridMultilevel"/>
    <w:tmpl w:val="56766882"/>
    <w:lvl w:ilvl="0" w:tplc="D6FE81F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7805880">
    <w:abstractNumId w:val="12"/>
  </w:num>
  <w:num w:numId="2" w16cid:durableId="1418555034">
    <w:abstractNumId w:val="11"/>
  </w:num>
  <w:num w:numId="3" w16cid:durableId="1562978864">
    <w:abstractNumId w:val="6"/>
  </w:num>
  <w:num w:numId="4" w16cid:durableId="859855100">
    <w:abstractNumId w:val="13"/>
  </w:num>
  <w:num w:numId="5" w16cid:durableId="541213881">
    <w:abstractNumId w:val="7"/>
  </w:num>
  <w:num w:numId="6" w16cid:durableId="1629165763">
    <w:abstractNumId w:val="2"/>
  </w:num>
  <w:num w:numId="7" w16cid:durableId="1257711040">
    <w:abstractNumId w:val="0"/>
  </w:num>
  <w:num w:numId="8" w16cid:durableId="205377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0944298">
    <w:abstractNumId w:val="14"/>
  </w:num>
  <w:num w:numId="10" w16cid:durableId="1200320973">
    <w:abstractNumId w:val="4"/>
  </w:num>
  <w:num w:numId="11" w16cid:durableId="135077496">
    <w:abstractNumId w:val="9"/>
  </w:num>
  <w:num w:numId="12" w16cid:durableId="2023819299">
    <w:abstractNumId w:val="10"/>
  </w:num>
  <w:num w:numId="13" w16cid:durableId="781995915">
    <w:abstractNumId w:val="8"/>
  </w:num>
  <w:num w:numId="14" w16cid:durableId="1873154259">
    <w:abstractNumId w:val="5"/>
  </w:num>
  <w:num w:numId="15" w16cid:durableId="103285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26"/>
    <w:rsid w:val="000642E4"/>
    <w:rsid w:val="000742DE"/>
    <w:rsid w:val="000C54AF"/>
    <w:rsid w:val="000D357A"/>
    <w:rsid w:val="000E5D3E"/>
    <w:rsid w:val="000E789A"/>
    <w:rsid w:val="001437D7"/>
    <w:rsid w:val="00150981"/>
    <w:rsid w:val="00194CEE"/>
    <w:rsid w:val="00197005"/>
    <w:rsid w:val="001A3443"/>
    <w:rsid w:val="001B079A"/>
    <w:rsid w:val="001E5348"/>
    <w:rsid w:val="001F04B3"/>
    <w:rsid w:val="001F72F5"/>
    <w:rsid w:val="00205E61"/>
    <w:rsid w:val="002367B5"/>
    <w:rsid w:val="00295EC8"/>
    <w:rsid w:val="002A196E"/>
    <w:rsid w:val="002D4AAF"/>
    <w:rsid w:val="002E0CAF"/>
    <w:rsid w:val="002E612C"/>
    <w:rsid w:val="00346890"/>
    <w:rsid w:val="003C2381"/>
    <w:rsid w:val="00443068"/>
    <w:rsid w:val="004612DB"/>
    <w:rsid w:val="0048497A"/>
    <w:rsid w:val="00486FC2"/>
    <w:rsid w:val="004915AB"/>
    <w:rsid w:val="00495BAA"/>
    <w:rsid w:val="004A04A2"/>
    <w:rsid w:val="004B723E"/>
    <w:rsid w:val="004E3668"/>
    <w:rsid w:val="005012EC"/>
    <w:rsid w:val="00507748"/>
    <w:rsid w:val="00513468"/>
    <w:rsid w:val="0054254E"/>
    <w:rsid w:val="0056294B"/>
    <w:rsid w:val="0056587D"/>
    <w:rsid w:val="00570C05"/>
    <w:rsid w:val="005B27E5"/>
    <w:rsid w:val="005E3B86"/>
    <w:rsid w:val="00600545"/>
    <w:rsid w:val="0064029A"/>
    <w:rsid w:val="00640A81"/>
    <w:rsid w:val="00641E17"/>
    <w:rsid w:val="00642B16"/>
    <w:rsid w:val="00647199"/>
    <w:rsid w:val="006732BE"/>
    <w:rsid w:val="006C10EE"/>
    <w:rsid w:val="006E3AD4"/>
    <w:rsid w:val="007315D9"/>
    <w:rsid w:val="00732C54"/>
    <w:rsid w:val="00745A86"/>
    <w:rsid w:val="00773DBA"/>
    <w:rsid w:val="007C6508"/>
    <w:rsid w:val="00813B99"/>
    <w:rsid w:val="00870EC3"/>
    <w:rsid w:val="00874CB1"/>
    <w:rsid w:val="008A0FAC"/>
    <w:rsid w:val="008B041F"/>
    <w:rsid w:val="00942C86"/>
    <w:rsid w:val="00956280"/>
    <w:rsid w:val="00967325"/>
    <w:rsid w:val="009730EB"/>
    <w:rsid w:val="00987C47"/>
    <w:rsid w:val="009B565A"/>
    <w:rsid w:val="009B7392"/>
    <w:rsid w:val="009C38A8"/>
    <w:rsid w:val="009D2009"/>
    <w:rsid w:val="009F15A3"/>
    <w:rsid w:val="009F3A31"/>
    <w:rsid w:val="00A07A41"/>
    <w:rsid w:val="00A21082"/>
    <w:rsid w:val="00A45AAE"/>
    <w:rsid w:val="00A530CE"/>
    <w:rsid w:val="00A94C49"/>
    <w:rsid w:val="00B03B11"/>
    <w:rsid w:val="00B651B0"/>
    <w:rsid w:val="00BA1449"/>
    <w:rsid w:val="00BC6A62"/>
    <w:rsid w:val="00BD499C"/>
    <w:rsid w:val="00C03F85"/>
    <w:rsid w:val="00C53F56"/>
    <w:rsid w:val="00C815DA"/>
    <w:rsid w:val="00CA24FF"/>
    <w:rsid w:val="00CB074B"/>
    <w:rsid w:val="00CE50AE"/>
    <w:rsid w:val="00D10826"/>
    <w:rsid w:val="00D1160B"/>
    <w:rsid w:val="00D11B17"/>
    <w:rsid w:val="00D169B4"/>
    <w:rsid w:val="00D5741D"/>
    <w:rsid w:val="00D6711D"/>
    <w:rsid w:val="00D85840"/>
    <w:rsid w:val="00D86E97"/>
    <w:rsid w:val="00D94CE8"/>
    <w:rsid w:val="00DA5B26"/>
    <w:rsid w:val="00DB1203"/>
    <w:rsid w:val="00DC3CDE"/>
    <w:rsid w:val="00DD43E0"/>
    <w:rsid w:val="00DD790F"/>
    <w:rsid w:val="00DE62E9"/>
    <w:rsid w:val="00E225C4"/>
    <w:rsid w:val="00E51FE6"/>
    <w:rsid w:val="00E64481"/>
    <w:rsid w:val="00E97262"/>
    <w:rsid w:val="00F101AA"/>
    <w:rsid w:val="00F10C22"/>
    <w:rsid w:val="00F178A2"/>
    <w:rsid w:val="00F206E7"/>
    <w:rsid w:val="00F655FA"/>
    <w:rsid w:val="00FB075E"/>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9A18"/>
  <w15:chartTrackingRefBased/>
  <w15:docId w15:val="{1F653CED-AF85-4BAB-8990-1D559B96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26"/>
    <w:pPr>
      <w:spacing w:line="259" w:lineRule="auto"/>
    </w:pPr>
    <w:rPr>
      <w:sz w:val="22"/>
      <w:szCs w:val="22"/>
    </w:rPr>
  </w:style>
  <w:style w:type="paragraph" w:styleId="Heading1">
    <w:name w:val="heading 1"/>
    <w:basedOn w:val="Normal"/>
    <w:next w:val="Normal"/>
    <w:link w:val="Heading1Char"/>
    <w:uiPriority w:val="9"/>
    <w:qFormat/>
    <w:rsid w:val="00D10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26"/>
    <w:rPr>
      <w:rFonts w:eastAsiaTheme="majorEastAsia" w:cstheme="majorBidi"/>
      <w:color w:val="272727" w:themeColor="text1" w:themeTint="D8"/>
    </w:rPr>
  </w:style>
  <w:style w:type="paragraph" w:styleId="Title">
    <w:name w:val="Title"/>
    <w:basedOn w:val="Normal"/>
    <w:next w:val="Normal"/>
    <w:link w:val="TitleChar"/>
    <w:uiPriority w:val="10"/>
    <w:qFormat/>
    <w:rsid w:val="00D1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26"/>
    <w:pPr>
      <w:spacing w:before="160"/>
      <w:jc w:val="center"/>
    </w:pPr>
    <w:rPr>
      <w:i/>
      <w:iCs/>
      <w:color w:val="404040" w:themeColor="text1" w:themeTint="BF"/>
    </w:rPr>
  </w:style>
  <w:style w:type="character" w:customStyle="1" w:styleId="QuoteChar">
    <w:name w:val="Quote Char"/>
    <w:basedOn w:val="DefaultParagraphFont"/>
    <w:link w:val="Quote"/>
    <w:uiPriority w:val="29"/>
    <w:rsid w:val="00D10826"/>
    <w:rPr>
      <w:i/>
      <w:iCs/>
      <w:color w:val="404040" w:themeColor="text1" w:themeTint="BF"/>
    </w:rPr>
  </w:style>
  <w:style w:type="paragraph" w:styleId="ListParagraph">
    <w:name w:val="List Paragraph"/>
    <w:basedOn w:val="Normal"/>
    <w:uiPriority w:val="34"/>
    <w:qFormat/>
    <w:rsid w:val="00D10826"/>
    <w:pPr>
      <w:ind w:left="720"/>
      <w:contextualSpacing/>
    </w:pPr>
  </w:style>
  <w:style w:type="character" w:styleId="IntenseEmphasis">
    <w:name w:val="Intense Emphasis"/>
    <w:basedOn w:val="DefaultParagraphFont"/>
    <w:uiPriority w:val="21"/>
    <w:qFormat/>
    <w:rsid w:val="00D10826"/>
    <w:rPr>
      <w:i/>
      <w:iCs/>
      <w:color w:val="0F4761" w:themeColor="accent1" w:themeShade="BF"/>
    </w:rPr>
  </w:style>
  <w:style w:type="paragraph" w:styleId="IntenseQuote">
    <w:name w:val="Intense Quote"/>
    <w:basedOn w:val="Normal"/>
    <w:next w:val="Normal"/>
    <w:link w:val="IntenseQuoteChar"/>
    <w:uiPriority w:val="30"/>
    <w:qFormat/>
    <w:rsid w:val="00D10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26"/>
    <w:rPr>
      <w:i/>
      <w:iCs/>
      <w:color w:val="0F4761" w:themeColor="accent1" w:themeShade="BF"/>
    </w:rPr>
  </w:style>
  <w:style w:type="character" w:styleId="IntenseReference">
    <w:name w:val="Intense Reference"/>
    <w:basedOn w:val="DefaultParagraphFont"/>
    <w:uiPriority w:val="32"/>
    <w:qFormat/>
    <w:rsid w:val="00D10826"/>
    <w:rPr>
      <w:b/>
      <w:bCs/>
      <w:smallCaps/>
      <w:color w:val="0F4761" w:themeColor="accent1" w:themeShade="BF"/>
      <w:spacing w:val="5"/>
    </w:rPr>
  </w:style>
  <w:style w:type="table" w:styleId="TableGrid">
    <w:name w:val="Table Grid"/>
    <w:basedOn w:val="TableNormal"/>
    <w:uiPriority w:val="39"/>
    <w:rsid w:val="00D1082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26"/>
    <w:rPr>
      <w:sz w:val="22"/>
      <w:szCs w:val="22"/>
    </w:rPr>
  </w:style>
  <w:style w:type="character" w:customStyle="1" w:styleId="HeaderChar">
    <w:name w:val="Header Char"/>
    <w:basedOn w:val="DefaultParagraphFont"/>
    <w:link w:val="Header"/>
    <w:uiPriority w:val="99"/>
    <w:rsid w:val="00D10826"/>
  </w:style>
  <w:style w:type="paragraph" w:styleId="Header">
    <w:name w:val="header"/>
    <w:basedOn w:val="Normal"/>
    <w:link w:val="HeaderChar"/>
    <w:uiPriority w:val="99"/>
    <w:unhideWhenUsed/>
    <w:rsid w:val="00D10826"/>
    <w:pPr>
      <w:tabs>
        <w:tab w:val="center" w:pos="4680"/>
        <w:tab w:val="right" w:pos="9360"/>
      </w:tabs>
      <w:spacing w:after="0" w:line="240" w:lineRule="auto"/>
    </w:pPr>
    <w:rPr>
      <w:sz w:val="24"/>
      <w:szCs w:val="24"/>
    </w:rPr>
  </w:style>
  <w:style w:type="character" w:customStyle="1" w:styleId="HeaderChar1">
    <w:name w:val="Header Char1"/>
    <w:basedOn w:val="DefaultParagraphFont"/>
    <w:uiPriority w:val="99"/>
    <w:semiHidden/>
    <w:rsid w:val="00D10826"/>
    <w:rPr>
      <w:sz w:val="22"/>
      <w:szCs w:val="22"/>
    </w:rPr>
  </w:style>
  <w:style w:type="paragraph" w:styleId="NormalWeb">
    <w:name w:val="Normal (Web)"/>
    <w:basedOn w:val="Normal"/>
    <w:uiPriority w:val="99"/>
    <w:unhideWhenUsed/>
    <w:rsid w:val="00A07A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499C"/>
    <w:rPr>
      <w:b/>
      <w:bCs/>
    </w:rPr>
  </w:style>
  <w:style w:type="character" w:customStyle="1" w:styleId="me-email-text">
    <w:name w:val="me-email-text"/>
    <w:basedOn w:val="DefaultParagraphFont"/>
    <w:rsid w:val="0048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5247">
      <w:bodyDiv w:val="1"/>
      <w:marLeft w:val="0"/>
      <w:marRight w:val="0"/>
      <w:marTop w:val="0"/>
      <w:marBottom w:val="0"/>
      <w:divBdr>
        <w:top w:val="none" w:sz="0" w:space="0" w:color="auto"/>
        <w:left w:val="none" w:sz="0" w:space="0" w:color="auto"/>
        <w:bottom w:val="none" w:sz="0" w:space="0" w:color="auto"/>
        <w:right w:val="none" w:sz="0" w:space="0" w:color="auto"/>
      </w:divBdr>
    </w:div>
    <w:div w:id="319386169">
      <w:bodyDiv w:val="1"/>
      <w:marLeft w:val="0"/>
      <w:marRight w:val="0"/>
      <w:marTop w:val="0"/>
      <w:marBottom w:val="0"/>
      <w:divBdr>
        <w:top w:val="none" w:sz="0" w:space="0" w:color="auto"/>
        <w:left w:val="none" w:sz="0" w:space="0" w:color="auto"/>
        <w:bottom w:val="none" w:sz="0" w:space="0" w:color="auto"/>
        <w:right w:val="none" w:sz="0" w:space="0" w:color="auto"/>
      </w:divBdr>
    </w:div>
    <w:div w:id="680397190">
      <w:bodyDiv w:val="1"/>
      <w:marLeft w:val="0"/>
      <w:marRight w:val="0"/>
      <w:marTop w:val="0"/>
      <w:marBottom w:val="0"/>
      <w:divBdr>
        <w:top w:val="none" w:sz="0" w:space="0" w:color="auto"/>
        <w:left w:val="none" w:sz="0" w:space="0" w:color="auto"/>
        <w:bottom w:val="none" w:sz="0" w:space="0" w:color="auto"/>
        <w:right w:val="none" w:sz="0" w:space="0" w:color="auto"/>
      </w:divBdr>
    </w:div>
    <w:div w:id="746879067">
      <w:bodyDiv w:val="1"/>
      <w:marLeft w:val="0"/>
      <w:marRight w:val="0"/>
      <w:marTop w:val="0"/>
      <w:marBottom w:val="0"/>
      <w:divBdr>
        <w:top w:val="none" w:sz="0" w:space="0" w:color="auto"/>
        <w:left w:val="none" w:sz="0" w:space="0" w:color="auto"/>
        <w:bottom w:val="none" w:sz="0" w:space="0" w:color="auto"/>
        <w:right w:val="none" w:sz="0" w:space="0" w:color="auto"/>
      </w:divBdr>
    </w:div>
    <w:div w:id="1283271233">
      <w:bodyDiv w:val="1"/>
      <w:marLeft w:val="0"/>
      <w:marRight w:val="0"/>
      <w:marTop w:val="0"/>
      <w:marBottom w:val="0"/>
      <w:divBdr>
        <w:top w:val="none" w:sz="0" w:space="0" w:color="auto"/>
        <w:left w:val="none" w:sz="0" w:space="0" w:color="auto"/>
        <w:bottom w:val="none" w:sz="0" w:space="0" w:color="auto"/>
        <w:right w:val="none" w:sz="0" w:space="0" w:color="auto"/>
      </w:divBdr>
    </w:div>
    <w:div w:id="1366491785">
      <w:bodyDiv w:val="1"/>
      <w:marLeft w:val="0"/>
      <w:marRight w:val="0"/>
      <w:marTop w:val="0"/>
      <w:marBottom w:val="0"/>
      <w:divBdr>
        <w:top w:val="none" w:sz="0" w:space="0" w:color="auto"/>
        <w:left w:val="none" w:sz="0" w:space="0" w:color="auto"/>
        <w:bottom w:val="none" w:sz="0" w:space="0" w:color="auto"/>
        <w:right w:val="none" w:sz="0" w:space="0" w:color="auto"/>
      </w:divBdr>
    </w:div>
    <w:div w:id="1400403073">
      <w:bodyDiv w:val="1"/>
      <w:marLeft w:val="0"/>
      <w:marRight w:val="0"/>
      <w:marTop w:val="0"/>
      <w:marBottom w:val="0"/>
      <w:divBdr>
        <w:top w:val="none" w:sz="0" w:space="0" w:color="auto"/>
        <w:left w:val="none" w:sz="0" w:space="0" w:color="auto"/>
        <w:bottom w:val="none" w:sz="0" w:space="0" w:color="auto"/>
        <w:right w:val="none" w:sz="0" w:space="0" w:color="auto"/>
      </w:divBdr>
    </w:div>
    <w:div w:id="1411195577">
      <w:bodyDiv w:val="1"/>
      <w:marLeft w:val="0"/>
      <w:marRight w:val="0"/>
      <w:marTop w:val="0"/>
      <w:marBottom w:val="0"/>
      <w:divBdr>
        <w:top w:val="none" w:sz="0" w:space="0" w:color="auto"/>
        <w:left w:val="none" w:sz="0" w:space="0" w:color="auto"/>
        <w:bottom w:val="none" w:sz="0" w:space="0" w:color="auto"/>
        <w:right w:val="none" w:sz="0" w:space="0" w:color="auto"/>
      </w:divBdr>
    </w:div>
    <w:div w:id="162083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Virginia State Corporation Commission</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Pullen</dc:creator>
  <cp:keywords/>
  <dc:description/>
  <cp:lastModifiedBy>Christie Peters</cp:lastModifiedBy>
  <cp:revision>5</cp:revision>
  <dcterms:created xsi:type="dcterms:W3CDTF">2026-01-06T15:19:00Z</dcterms:created>
  <dcterms:modified xsi:type="dcterms:W3CDTF">2026-01-06T15:21:00Z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4c7a1739,228c8fa4,78df5f0c</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8e953dd5-1b53-4742-b186-f2a38279ffcd_Enabled">
    <vt:lpwstr>true</vt:lpwstr>
  </property>
  <property fmtid="{D5CDD505-2E9C-101B-9397-08002B2CF9AE}" pid="6" name="MSIP_Label_8e953dd5-1b53-4742-b186-f2a38279ffcd_SetDate">
    <vt:lpwstr>2025-12-10T17:21:27Z</vt:lpwstr>
  </property>
  <property fmtid="{D5CDD505-2E9C-101B-9397-08002B2CF9AE}" pid="7" name="MSIP_Label_8e953dd5-1b53-4742-b186-f2a38279ffcd_Method">
    <vt:lpwstr>Standard</vt:lpwstr>
  </property>
  <property fmtid="{D5CDD505-2E9C-101B-9397-08002B2CF9AE}" pid="8" name="MSIP_Label_8e953dd5-1b53-4742-b186-f2a38279ffcd_Name">
    <vt:lpwstr>8e953dd5-1b53-4742-b186-f2a38279ffcd</vt:lpwstr>
  </property>
  <property fmtid="{D5CDD505-2E9C-101B-9397-08002B2CF9AE}" pid="9" name="MSIP_Label_8e953dd5-1b53-4742-b186-f2a38279ffcd_SiteId">
    <vt:lpwstr>1791a7f1-2629-474f-8283-d4da7899c3be</vt:lpwstr>
  </property>
  <property fmtid="{D5CDD505-2E9C-101B-9397-08002B2CF9AE}" pid="10" name="MSIP_Label_8e953dd5-1b53-4742-b186-f2a38279ffcd_ActionId">
    <vt:lpwstr>82ace099-ce05-4029-8510-8faa21ff5283</vt:lpwstr>
  </property>
  <property fmtid="{D5CDD505-2E9C-101B-9397-08002B2CF9AE}" pid="11" name="MSIP_Label_8e953dd5-1b53-4742-b186-f2a38279ffcd_ContentBits">
    <vt:lpwstr>2</vt:lpwstr>
  </property>
</Properties>
</file>